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lang w:eastAsia="zh-CN"/>
        </w:rPr>
        <w:t>互联网专线</w:t>
      </w:r>
      <w:r>
        <w:rPr>
          <w:rFonts w:hint="eastAsia"/>
          <w:lang w:val="en-US" w:eastAsia="zh-CN"/>
        </w:rPr>
        <w:t>500M</w:t>
      </w:r>
      <w:r>
        <w:rPr>
          <w:rFonts w:hint="eastAsia"/>
          <w:lang w:eastAsia="zh-CN"/>
        </w:rPr>
        <w:t>租赁</w:t>
      </w:r>
      <w:r>
        <w:rPr>
          <w:rFonts w:hint="eastAsia"/>
        </w:rPr>
        <w:t>服务商务要求</w:t>
      </w:r>
    </w:p>
    <w:p>
      <w:pPr>
        <w:numPr>
          <w:ilvl w:val="0"/>
          <w:numId w:val="2"/>
        </w:numPr>
        <w:spacing w:line="360" w:lineRule="auto"/>
        <w:rPr>
          <w:rFonts w:hint="eastAsia" w:ascii="黑体" w:hAnsi="黑体"/>
          <w:b/>
          <w:bCs/>
          <w:sz w:val="28"/>
          <w:szCs w:val="28"/>
          <w:lang w:eastAsia="zh-CN"/>
        </w:rPr>
      </w:pPr>
      <w:r>
        <w:rPr>
          <w:rFonts w:hint="eastAsia" w:ascii="黑体" w:hAnsi="黑体"/>
          <w:b/>
          <w:bCs/>
          <w:sz w:val="28"/>
          <w:szCs w:val="28"/>
          <w:lang w:eastAsia="zh-CN"/>
        </w:rPr>
        <w:t>商务要求</w:t>
      </w:r>
    </w:p>
    <w:p>
      <w:pPr>
        <w:tabs>
          <w:tab w:val="left" w:pos="312"/>
        </w:tabs>
        <w:spacing w:line="520" w:lineRule="exact"/>
        <w:ind w:left="420"/>
        <w:outlineLvl w:val="2"/>
        <w:rPr>
          <w:rFonts w:hAnsi="宋体"/>
          <w:b/>
          <w:bCs/>
          <w:sz w:val="24"/>
          <w:szCs w:val="24"/>
          <w:highlight w:val="none"/>
        </w:rPr>
      </w:pPr>
      <w:bookmarkStart w:id="0" w:name="_Toc16729"/>
      <w:bookmarkStart w:id="1" w:name="_Toc21701"/>
      <w:bookmarkStart w:id="2" w:name="_Toc22824"/>
      <w:bookmarkStart w:id="3" w:name="_Toc23661"/>
      <w:bookmarkStart w:id="4" w:name="_Toc24258"/>
      <w:r>
        <w:rPr>
          <w:rFonts w:hint="eastAsia" w:hAnsi="宋体"/>
          <w:b/>
          <w:bCs/>
          <w:sz w:val="24"/>
          <w:szCs w:val="24"/>
          <w:highlight w:val="none"/>
        </w:rPr>
        <w:t>(一)履约地点</w:t>
      </w:r>
      <w:bookmarkEnd w:id="0"/>
      <w:bookmarkEnd w:id="1"/>
      <w:bookmarkEnd w:id="2"/>
      <w:bookmarkEnd w:id="3"/>
      <w:bookmarkEnd w:id="4"/>
    </w:p>
    <w:p>
      <w:pPr>
        <w:pStyle w:val="2"/>
        <w:tabs>
          <w:tab w:val="left" w:pos="0"/>
        </w:tabs>
        <w:spacing w:after="0" w:line="520" w:lineRule="exact"/>
        <w:ind w:firstLine="480" w:firstLineChars="200"/>
        <w:rPr>
          <w:rFonts w:hint="eastAsia"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lang w:eastAsia="zh-CN"/>
        </w:rPr>
        <w:t>、</w:t>
      </w:r>
      <w:r>
        <w:rPr>
          <w:rFonts w:hint="eastAsia" w:hAnsi="宋体"/>
          <w:color w:val="auto"/>
          <w:sz w:val="24"/>
          <w:szCs w:val="24"/>
          <w:highlight w:val="none"/>
        </w:rPr>
        <w:t>履约地点：宜宾市第二人民医院，具体以采购人指定地点为准。</w:t>
      </w:r>
      <w:bookmarkStart w:id="5" w:name="_Toc29288"/>
      <w:bookmarkStart w:id="6" w:name="_Toc32002"/>
      <w:bookmarkStart w:id="7" w:name="_Toc18637"/>
    </w:p>
    <w:p>
      <w:pPr>
        <w:tabs>
          <w:tab w:val="left" w:pos="312"/>
        </w:tabs>
        <w:spacing w:line="520" w:lineRule="exact"/>
        <w:ind w:left="420"/>
        <w:outlineLvl w:val="2"/>
        <w:rPr>
          <w:rFonts w:hint="eastAsia" w:hAnsi="宋体"/>
          <w:b/>
          <w:bCs/>
          <w:sz w:val="24"/>
          <w:szCs w:val="24"/>
          <w:highlight w:val="none"/>
          <w:lang w:eastAsia="zh-CN"/>
        </w:rPr>
      </w:pPr>
      <w:r>
        <w:rPr>
          <w:rFonts w:hint="eastAsia" w:hAnsi="宋体"/>
          <w:b/>
          <w:bCs/>
          <w:sz w:val="24"/>
          <w:szCs w:val="24"/>
          <w:highlight w:val="none"/>
        </w:rPr>
        <w:t>(二)</w:t>
      </w:r>
      <w:r>
        <w:rPr>
          <w:rFonts w:hint="eastAsia" w:hAnsi="宋体"/>
          <w:b/>
          <w:bCs/>
          <w:sz w:val="24"/>
          <w:szCs w:val="24"/>
          <w:highlight w:val="none"/>
          <w:lang w:eastAsia="zh-CN"/>
        </w:rPr>
        <w:t>履约时间</w:t>
      </w:r>
      <w:bookmarkStart w:id="9" w:name="_GoBack"/>
      <w:bookmarkEnd w:id="9"/>
    </w:p>
    <w:p>
      <w:pPr>
        <w:pStyle w:val="2"/>
        <w:tabs>
          <w:tab w:val="left" w:pos="0"/>
        </w:tabs>
        <w:spacing w:after="0" w:line="520" w:lineRule="exact"/>
        <w:ind w:firstLine="480" w:firstLineChars="200"/>
        <w:rPr>
          <w:rFonts w:hint="eastAsia" w:hAnsi="宋体"/>
          <w:color w:val="000000"/>
          <w:sz w:val="24"/>
          <w:szCs w:val="24"/>
          <w:lang w:val="en-US" w:eastAsia="zh-CN"/>
        </w:rPr>
      </w:pPr>
      <w:r>
        <w:rPr>
          <w:rFonts w:hint="eastAsia" w:hAnsi="宋体"/>
          <w:color w:val="000000"/>
          <w:sz w:val="24"/>
          <w:szCs w:val="24"/>
          <w:lang w:val="en-US" w:eastAsia="zh-CN"/>
        </w:rPr>
        <w:t>履约时间:一年。</w:t>
      </w:r>
    </w:p>
    <w:p>
      <w:pPr>
        <w:tabs>
          <w:tab w:val="left" w:pos="312"/>
        </w:tabs>
        <w:spacing w:line="520" w:lineRule="exact"/>
        <w:ind w:left="420"/>
        <w:outlineLvl w:val="2"/>
        <w:rPr>
          <w:rFonts w:hint="default" w:hAnsi="宋体" w:eastAsiaTheme="minorEastAsia"/>
          <w:b/>
          <w:bCs/>
          <w:sz w:val="24"/>
          <w:szCs w:val="24"/>
          <w:highlight w:val="none"/>
          <w:lang w:val="en-US" w:eastAsia="zh-CN"/>
        </w:rPr>
      </w:pPr>
      <w:r>
        <w:rPr>
          <w:rFonts w:hint="eastAsia" w:hAnsi="宋体"/>
          <w:b/>
          <w:bCs/>
          <w:sz w:val="24"/>
          <w:szCs w:val="24"/>
          <w:highlight w:val="none"/>
        </w:rPr>
        <w:t>(</w:t>
      </w:r>
      <w:r>
        <w:rPr>
          <w:rFonts w:hint="eastAsia" w:hAnsi="宋体"/>
          <w:b/>
          <w:bCs/>
          <w:sz w:val="24"/>
          <w:szCs w:val="24"/>
          <w:highlight w:val="none"/>
          <w:lang w:eastAsia="zh-CN"/>
        </w:rPr>
        <w:t>三</w:t>
      </w:r>
      <w:r>
        <w:rPr>
          <w:rFonts w:hint="eastAsia" w:hAnsi="宋体"/>
          <w:b/>
          <w:bCs/>
          <w:sz w:val="24"/>
          <w:szCs w:val="24"/>
          <w:highlight w:val="none"/>
        </w:rPr>
        <w:t>)</w:t>
      </w:r>
      <w:r>
        <w:rPr>
          <w:rFonts w:hint="eastAsia" w:hAnsi="宋体"/>
          <w:b/>
          <w:bCs/>
          <w:sz w:val="24"/>
          <w:szCs w:val="24"/>
          <w:highlight w:val="none"/>
          <w:lang w:eastAsia="zh-CN"/>
        </w:rPr>
        <w:t>履约保证金</w:t>
      </w:r>
    </w:p>
    <w:p>
      <w:pPr>
        <w:pStyle w:val="2"/>
        <w:tabs>
          <w:tab w:val="left" w:pos="0"/>
        </w:tabs>
        <w:spacing w:after="0" w:line="520" w:lineRule="exact"/>
        <w:ind w:firstLine="480" w:firstLineChars="200"/>
        <w:rPr>
          <w:rFonts w:hint="default" w:hAnsi="宋体"/>
          <w:color w:val="000000"/>
          <w:sz w:val="24"/>
          <w:szCs w:val="24"/>
          <w:lang w:val="en-US" w:eastAsia="zh-CN"/>
        </w:rPr>
      </w:pPr>
      <w:r>
        <w:rPr>
          <w:rFonts w:hint="default" w:hAnsi="宋体"/>
          <w:color w:val="000000"/>
          <w:sz w:val="24"/>
          <w:szCs w:val="24"/>
          <w:lang w:val="en-US" w:eastAsia="zh-CN"/>
        </w:rPr>
        <w:t>履约保证金缴纳比例：合同金额的5%</w:t>
      </w:r>
    </w:p>
    <w:p>
      <w:pPr>
        <w:pStyle w:val="2"/>
        <w:tabs>
          <w:tab w:val="left" w:pos="0"/>
        </w:tabs>
        <w:spacing w:after="0" w:line="520" w:lineRule="exact"/>
        <w:ind w:firstLine="480" w:firstLineChars="200"/>
        <w:rPr>
          <w:rFonts w:hint="default" w:hAnsi="宋体"/>
          <w:color w:val="000000"/>
          <w:sz w:val="24"/>
          <w:szCs w:val="24"/>
          <w:lang w:val="en-US" w:eastAsia="zh-CN"/>
        </w:rPr>
      </w:pPr>
      <w:r>
        <w:rPr>
          <w:rFonts w:hint="eastAsia" w:hAnsi="宋体"/>
          <w:color w:val="000000"/>
          <w:sz w:val="24"/>
          <w:szCs w:val="24"/>
          <w:lang w:val="en-US" w:eastAsia="zh-CN"/>
        </w:rPr>
        <w:t>产品质保期满且系统运行正常情况下无息退还供应商履约保证金。</w:t>
      </w:r>
    </w:p>
    <w:p>
      <w:pPr>
        <w:tabs>
          <w:tab w:val="left" w:pos="312"/>
        </w:tabs>
        <w:spacing w:line="520" w:lineRule="exact"/>
        <w:ind w:left="420"/>
        <w:outlineLvl w:val="2"/>
        <w:rPr>
          <w:rFonts w:hAnsi="宋体"/>
          <w:b/>
          <w:bCs/>
          <w:sz w:val="24"/>
          <w:szCs w:val="24"/>
          <w:highlight w:val="none"/>
        </w:rPr>
      </w:pPr>
      <w:bookmarkStart w:id="8" w:name="_Toc18020"/>
      <w:r>
        <w:rPr>
          <w:rFonts w:hint="eastAsia" w:hAnsi="宋体"/>
          <w:b/>
          <w:bCs/>
          <w:sz w:val="24"/>
          <w:szCs w:val="24"/>
          <w:highlight w:val="none"/>
        </w:rPr>
        <w:t>(</w:t>
      </w:r>
      <w:r>
        <w:rPr>
          <w:rFonts w:hint="eastAsia" w:hAnsi="宋体"/>
          <w:b/>
          <w:bCs/>
          <w:sz w:val="24"/>
          <w:szCs w:val="24"/>
          <w:highlight w:val="none"/>
          <w:lang w:eastAsia="zh-CN"/>
        </w:rPr>
        <w:t>四</w:t>
      </w:r>
      <w:r>
        <w:rPr>
          <w:rFonts w:hint="eastAsia" w:hAnsi="宋体"/>
          <w:b/>
          <w:bCs/>
          <w:sz w:val="24"/>
          <w:szCs w:val="24"/>
          <w:highlight w:val="none"/>
        </w:rPr>
        <w:t>)付款条件</w:t>
      </w:r>
      <w:bookmarkEnd w:id="5"/>
      <w:bookmarkEnd w:id="6"/>
      <w:bookmarkEnd w:id="7"/>
      <w:bookmarkEnd w:id="8"/>
    </w:p>
    <w:p>
      <w:pPr>
        <w:pStyle w:val="2"/>
        <w:tabs>
          <w:tab w:val="left" w:pos="0"/>
        </w:tabs>
        <w:spacing w:after="0" w:line="520" w:lineRule="exact"/>
        <w:ind w:firstLine="480" w:firstLineChars="200"/>
        <w:rPr>
          <w:rFonts w:hint="eastAsia" w:hAnsi="宋体"/>
          <w:color w:val="000000"/>
          <w:sz w:val="24"/>
          <w:szCs w:val="24"/>
          <w:lang w:val="en-US" w:eastAsia="zh-CN"/>
        </w:rPr>
      </w:pPr>
      <w:r>
        <w:rPr>
          <w:rFonts w:hint="eastAsia" w:hAnsi="宋体"/>
          <w:color w:val="auto"/>
          <w:sz w:val="24"/>
          <w:szCs w:val="24"/>
          <w:highlight w:val="none"/>
          <w:lang w:val="en-US" w:eastAsia="zh-CN"/>
        </w:rPr>
        <w:t>服务费按年支付。</w:t>
      </w:r>
    </w:p>
    <w:p>
      <w:pPr>
        <w:pStyle w:val="37"/>
        <w:numPr>
          <w:ilvl w:val="1"/>
          <w:numId w:val="0"/>
        </w:numPr>
        <w:spacing w:line="520" w:lineRule="exact"/>
        <w:ind w:firstLine="482" w:firstLineChars="200"/>
        <w:outlineLvl w:val="9"/>
        <w:rPr>
          <w:rFonts w:hint="eastAsia"/>
          <w:b/>
          <w:bCs/>
          <w:sz w:val="24"/>
          <w:szCs w:val="24"/>
          <w:highlight w:val="none"/>
          <w:lang w:eastAsia="zh-CN"/>
        </w:rPr>
      </w:pPr>
      <w:r>
        <w:rPr>
          <w:rFonts w:hint="eastAsia"/>
          <w:b/>
          <w:bCs/>
          <w:sz w:val="24"/>
          <w:szCs w:val="24"/>
          <w:highlight w:val="none"/>
          <w:lang w:eastAsia="zh-CN"/>
        </w:rPr>
        <w:t>（五）服务要求</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rPr>
        <w:t>1、</w:t>
      </w:r>
      <w:r>
        <w:rPr>
          <w:rFonts w:hint="default"/>
          <w:b w:val="0"/>
          <w:bCs/>
          <w:color w:val="auto"/>
          <w:sz w:val="24"/>
          <w:szCs w:val="24"/>
          <w:highlight w:val="none"/>
          <w:lang w:val="en-US" w:eastAsia="zh-CN"/>
        </w:rPr>
        <w:t>在资源具备，且</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办理完毕相关业务受理手续后[三十]个工作日内，向</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提供电路服务业务。</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2、</w:t>
      </w:r>
      <w:r>
        <w:rPr>
          <w:rFonts w:hint="default"/>
          <w:b w:val="0"/>
          <w:bCs/>
          <w:color w:val="auto"/>
          <w:sz w:val="24"/>
          <w:szCs w:val="24"/>
          <w:highlight w:val="none"/>
          <w:lang w:val="en-US" w:eastAsia="zh-CN"/>
        </w:rPr>
        <w:t>由于</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端口、线路资源暂未具备等原因而未及时开通电路服务的，</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有责任协调相关部门尽快开通电路服务。</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3、</w:t>
      </w:r>
      <w:r>
        <w:rPr>
          <w:rFonts w:hint="default"/>
          <w:b w:val="0"/>
          <w:bCs/>
          <w:color w:val="auto"/>
          <w:sz w:val="24"/>
          <w:szCs w:val="24"/>
          <w:highlight w:val="none"/>
          <w:lang w:val="en-US" w:eastAsia="zh-CN"/>
        </w:rPr>
        <w:t>在</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给予必要的协助和配合下，依据相关规程和规范以及本合同约定提供电路维护服务，并及时修复通信障碍，保证通信畅通。</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4、供应商</w:t>
      </w:r>
      <w:r>
        <w:rPr>
          <w:rFonts w:hint="default"/>
          <w:b w:val="0"/>
          <w:bCs/>
          <w:color w:val="auto"/>
          <w:sz w:val="24"/>
          <w:szCs w:val="24"/>
          <w:highlight w:val="none"/>
          <w:lang w:val="en-US" w:eastAsia="zh-CN"/>
        </w:rPr>
        <w:t>所提供电路维护服务的责任界面按照国家法律法规公布的维护规程明确。具体以</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机房的设备为界,设备以外线路侧由</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提供维护管理服务 ,另一侧（设备侧）由</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负责维护管理。</w:t>
      </w:r>
    </w:p>
    <w:p>
      <w:pPr>
        <w:pStyle w:val="37"/>
        <w:numPr>
          <w:ilvl w:val="1"/>
          <w:numId w:val="0"/>
        </w:numPr>
        <w:spacing w:line="520" w:lineRule="exact"/>
        <w:ind w:firstLine="482" w:firstLineChars="200"/>
        <w:outlineLvl w:val="9"/>
        <w:rPr>
          <w:rFonts w:hint="eastAsia" w:hAnsi="宋体"/>
          <w:b/>
          <w:bCs/>
          <w:sz w:val="24"/>
          <w:szCs w:val="24"/>
          <w:highlight w:val="none"/>
          <w:lang w:val="en-US" w:eastAsia="zh-CN"/>
        </w:rPr>
      </w:pPr>
      <w:r>
        <w:rPr>
          <w:rFonts w:hint="eastAsia" w:hAnsi="宋体"/>
          <w:b/>
          <w:bCs/>
          <w:sz w:val="24"/>
          <w:szCs w:val="24"/>
          <w:highlight w:val="none"/>
          <w:lang w:val="en-US" w:eastAsia="zh-CN"/>
        </w:rPr>
        <w:t>（六）违约责任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1</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必须遵守合同并执行合同中的各项规定，保证合同的正常履行。</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2</w:t>
      </w:r>
      <w:r>
        <w:rPr>
          <w:rFonts w:hint="eastAsia" w:hAnsi="宋体"/>
          <w:b w:val="0"/>
          <w:bCs/>
          <w:color w:val="auto"/>
          <w:sz w:val="24"/>
          <w:szCs w:val="24"/>
          <w:highlight w:val="none"/>
          <w:lang w:val="en-US" w:eastAsia="zh-CN"/>
        </w:rPr>
        <w:t>、</w:t>
      </w:r>
      <w:r>
        <w:rPr>
          <w:rFonts w:hint="default" w:hAnsi="宋体"/>
          <w:b w:val="0"/>
          <w:bCs/>
          <w:color w:val="auto"/>
          <w:sz w:val="24"/>
          <w:szCs w:val="24"/>
          <w:highlight w:val="none"/>
          <w:lang w:val="en-US" w:eastAsia="zh-CN"/>
        </w:rPr>
        <w:t>如因</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工作人员在履行职务过程中的疏忽、失职、过错等故意或者过失原因给</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造成损失或侵害，包括但不限于</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本身的财产损失、由此而导致的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对任何第三方的法律责任等，</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对此均应承担全部的赔偿责任。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3</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不能按时提供服务(成果)或逾期提供的而违约的，除应及时提供服务外，应向</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偿付逾期提供部分服务总额的万分之十/天的违约金；逾期超过15天，</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有权终止合同，</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则应按合同总价的百分之一的款额向</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偿付违约金，并须全额退还</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已经付给</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的服务费及其利息。</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4</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在履约过程中，服务经</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考核不合格的，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有权要求</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整改，</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三次整改仍不符合要求的，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有权终止合同。</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5</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应当遵守</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的相关项目需求及相关技术要求及实质性条款，实施完成采购合同应当完全满足相关项目需求及相关技术要求及实质性条款，若</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瑕疵履行采购合同，</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有权向</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要求赔偿合同总价款20%的违约金，若造成相关损失的，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有权要求</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承担所有赔偿责任。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p>
    <w:p>
      <w:pPr>
        <w:pStyle w:val="37"/>
        <w:numPr>
          <w:ilvl w:val="1"/>
          <w:numId w:val="0"/>
        </w:numPr>
        <w:spacing w:line="520" w:lineRule="exact"/>
        <w:ind w:firstLine="480" w:firstLineChars="200"/>
        <w:outlineLvl w:val="9"/>
        <w:rPr>
          <w:rFonts w:hint="eastAsia"/>
          <w:b w:val="0"/>
          <w:bCs/>
          <w:color w:val="auto"/>
          <w:sz w:val="24"/>
          <w:szCs w:val="24"/>
          <w:highlight w:val="non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560457"/>
      <w:docPartObj>
        <w:docPartGallery w:val="autotext"/>
      </w:docPartObj>
    </w:sdtPr>
    <w:sdtContent>
      <w:sdt>
        <w:sdtPr>
          <w:id w:val="74245515"/>
          <w:docPartObj>
            <w:docPartGallery w:val="autotext"/>
          </w:docPartObj>
        </w:sdtPr>
        <w:sdtContent>
          <w:p>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pPr>
      <w:pStyle w:val="10"/>
      <w:ind w:firstLine="360"/>
      <w:rPr>
        <w:rFonts w:cs="Times New Roman" w:asciiTheme="minorEastAsia" w:hAnsi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ADF1C"/>
    <w:multiLevelType w:val="singleLevel"/>
    <w:tmpl w:val="A81ADF1C"/>
    <w:lvl w:ilvl="0" w:tentative="0">
      <w:start w:val="3"/>
      <w:numFmt w:val="chineseCounting"/>
      <w:suff w:val="nothing"/>
      <w:lvlText w:val="%1、"/>
      <w:lvlJc w:val="left"/>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7"/>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00561A57"/>
    <w:rsid w:val="0001560B"/>
    <w:rsid w:val="00094A3F"/>
    <w:rsid w:val="00132857"/>
    <w:rsid w:val="00134D26"/>
    <w:rsid w:val="00166EFE"/>
    <w:rsid w:val="00176E8D"/>
    <w:rsid w:val="001D770D"/>
    <w:rsid w:val="00241BB2"/>
    <w:rsid w:val="00296A8D"/>
    <w:rsid w:val="002F57D0"/>
    <w:rsid w:val="00332574"/>
    <w:rsid w:val="003B3D6B"/>
    <w:rsid w:val="00561A57"/>
    <w:rsid w:val="005868F1"/>
    <w:rsid w:val="005B5B66"/>
    <w:rsid w:val="00625ED9"/>
    <w:rsid w:val="006F01C6"/>
    <w:rsid w:val="00717D6F"/>
    <w:rsid w:val="008B3A3B"/>
    <w:rsid w:val="008E73BD"/>
    <w:rsid w:val="009D2EAA"/>
    <w:rsid w:val="00AE4FD6"/>
    <w:rsid w:val="00B10D4E"/>
    <w:rsid w:val="00B603DC"/>
    <w:rsid w:val="00B77D2B"/>
    <w:rsid w:val="00D44FC9"/>
    <w:rsid w:val="00D65A03"/>
    <w:rsid w:val="00D82DC3"/>
    <w:rsid w:val="00E12127"/>
    <w:rsid w:val="00E530AB"/>
    <w:rsid w:val="00F11BEE"/>
    <w:rsid w:val="00F60D09"/>
    <w:rsid w:val="00FD1286"/>
    <w:rsid w:val="05E60E91"/>
    <w:rsid w:val="071C4EAB"/>
    <w:rsid w:val="0A067AB9"/>
    <w:rsid w:val="0A7A5112"/>
    <w:rsid w:val="10D34B99"/>
    <w:rsid w:val="14AB3737"/>
    <w:rsid w:val="18770500"/>
    <w:rsid w:val="2E121253"/>
    <w:rsid w:val="37117919"/>
    <w:rsid w:val="406925CB"/>
    <w:rsid w:val="423A11DC"/>
    <w:rsid w:val="458A15CA"/>
    <w:rsid w:val="485E2B2B"/>
    <w:rsid w:val="530C65B5"/>
    <w:rsid w:val="56D95968"/>
    <w:rsid w:val="5F265B28"/>
    <w:rsid w:val="60E7023C"/>
    <w:rsid w:val="63A63014"/>
    <w:rsid w:val="6BF55709"/>
    <w:rsid w:val="6C3806EF"/>
    <w:rsid w:val="72DF1277"/>
    <w:rsid w:val="762027B2"/>
    <w:rsid w:val="77223206"/>
    <w:rsid w:val="777F175A"/>
    <w:rsid w:val="7A032225"/>
    <w:rsid w:val="7B6A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0"/>
    <w:pPr>
      <w:keepNext/>
      <w:keepLines/>
      <w:spacing w:before="240" w:after="240" w:line="360" w:lineRule="auto"/>
      <w:ind w:firstLine="200" w:firstLineChars="200"/>
      <w:jc w:val="left"/>
      <w:outlineLvl w:val="0"/>
    </w:pPr>
    <w:rPr>
      <w:rFonts w:eastAsiaTheme="majorEastAsia"/>
      <w:b/>
      <w:bCs/>
      <w:kern w:val="44"/>
      <w:sz w:val="32"/>
      <w:szCs w:val="44"/>
    </w:rPr>
  </w:style>
  <w:style w:type="paragraph" w:styleId="4">
    <w:name w:val="heading 2"/>
    <w:basedOn w:val="1"/>
    <w:next w:val="1"/>
    <w:link w:val="22"/>
    <w:autoRedefine/>
    <w:unhideWhenUsed/>
    <w:qFormat/>
    <w:uiPriority w:val="0"/>
    <w:pPr>
      <w:keepNext/>
      <w:keepLines/>
      <w:spacing w:before="120" w:after="120" w:line="360" w:lineRule="auto"/>
      <w:ind w:firstLine="200" w:firstLineChars="200"/>
      <w:jc w:val="left"/>
      <w:outlineLvl w:val="1"/>
    </w:pPr>
    <w:rPr>
      <w:rFonts w:asciiTheme="majorHAnsi" w:hAnsiTheme="majorHAnsi" w:eastAsiaTheme="majorEastAsia" w:cstheme="majorBidi"/>
      <w:b/>
      <w:bCs/>
      <w:sz w:val="30"/>
      <w:szCs w:val="32"/>
    </w:rPr>
  </w:style>
  <w:style w:type="paragraph" w:styleId="5">
    <w:name w:val="heading 3"/>
    <w:basedOn w:val="1"/>
    <w:next w:val="1"/>
    <w:link w:val="29"/>
    <w:autoRedefine/>
    <w:unhideWhenUsed/>
    <w:qFormat/>
    <w:uiPriority w:val="9"/>
    <w:pPr>
      <w:keepNext/>
      <w:keepLines/>
      <w:spacing w:before="260" w:after="260" w:line="416" w:lineRule="auto"/>
      <w:outlineLvl w:val="2"/>
    </w:pPr>
    <w:rPr>
      <w:rFonts w:eastAsiaTheme="majorEastAsia"/>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6">
    <w:name w:val="List 2"/>
    <w:basedOn w:val="1"/>
    <w:autoRedefine/>
    <w:qFormat/>
    <w:uiPriority w:val="0"/>
    <w:pPr>
      <w:spacing w:line="360" w:lineRule="auto"/>
      <w:ind w:left="100" w:leftChars="200" w:hanging="200" w:hangingChars="200"/>
    </w:pPr>
    <w:rPr>
      <w:rFonts w:ascii="Times New Roman" w:hAnsi="Times New Roman" w:eastAsia="仿宋" w:cs="Times New Roman"/>
      <w:sz w:val="24"/>
      <w:szCs w:val="24"/>
    </w:rPr>
  </w:style>
  <w:style w:type="paragraph" w:styleId="7">
    <w:name w:val="toc 3"/>
    <w:basedOn w:val="1"/>
    <w:next w:val="1"/>
    <w:autoRedefine/>
    <w:unhideWhenUsed/>
    <w:qFormat/>
    <w:uiPriority w:val="39"/>
    <w:pPr>
      <w:widowControl/>
      <w:spacing w:after="100" w:line="276" w:lineRule="auto"/>
      <w:ind w:left="440" w:firstLine="200" w:firstLineChars="200"/>
      <w:jc w:val="left"/>
    </w:pPr>
    <w:rPr>
      <w:rFonts w:eastAsia="仿宋"/>
      <w:kern w:val="0"/>
      <w:sz w:val="22"/>
    </w:rPr>
  </w:style>
  <w:style w:type="paragraph" w:styleId="8">
    <w:name w:val="Date"/>
    <w:basedOn w:val="1"/>
    <w:next w:val="1"/>
    <w:link w:val="20"/>
    <w:autoRedefine/>
    <w:semiHidden/>
    <w:unhideWhenUsed/>
    <w:qFormat/>
    <w:uiPriority w:val="99"/>
    <w:pPr>
      <w:ind w:left="100" w:leftChars="2500"/>
    </w:p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spacing w:line="360" w:lineRule="auto"/>
      <w:ind w:firstLine="200" w:firstLineChars="200"/>
      <w:jc w:val="left"/>
    </w:pPr>
    <w:rPr>
      <w:rFonts w:eastAsia="仿宋"/>
      <w:sz w:val="18"/>
      <w:szCs w:val="18"/>
    </w:rPr>
  </w:style>
  <w:style w:type="paragraph" w:styleId="11">
    <w:name w:val="header"/>
    <w:basedOn w:val="1"/>
    <w:link w:val="23"/>
    <w:autoRedefine/>
    <w:qFormat/>
    <w:uiPriority w:val="99"/>
    <w:pPr>
      <w:tabs>
        <w:tab w:val="center" w:pos="4153"/>
        <w:tab w:val="right" w:pos="8306"/>
      </w:tabs>
      <w:snapToGrid w:val="0"/>
      <w:spacing w:line="360" w:lineRule="auto"/>
      <w:ind w:firstLine="200" w:firstLineChars="200"/>
      <w:jc w:val="center"/>
    </w:pPr>
    <w:rPr>
      <w:rFonts w:eastAsia="仿宋"/>
      <w:sz w:val="18"/>
      <w:szCs w:val="18"/>
    </w:rPr>
  </w:style>
  <w:style w:type="paragraph" w:styleId="12">
    <w:name w:val="toc 1"/>
    <w:basedOn w:val="1"/>
    <w:next w:val="1"/>
    <w:autoRedefine/>
    <w:unhideWhenUsed/>
    <w:qFormat/>
    <w:uiPriority w:val="39"/>
    <w:pPr>
      <w:widowControl/>
      <w:tabs>
        <w:tab w:val="right" w:leader="dot" w:pos="8296"/>
      </w:tabs>
      <w:spacing w:after="100"/>
      <w:ind w:firstLine="440" w:firstLineChars="200"/>
      <w:jc w:val="left"/>
    </w:pPr>
    <w:rPr>
      <w:rFonts w:eastAsia="仿宋"/>
      <w:kern w:val="0"/>
      <w:sz w:val="22"/>
    </w:rPr>
  </w:style>
  <w:style w:type="paragraph" w:styleId="13">
    <w:name w:val="toc 2"/>
    <w:basedOn w:val="1"/>
    <w:next w:val="1"/>
    <w:autoRedefine/>
    <w:unhideWhenUsed/>
    <w:qFormat/>
    <w:uiPriority w:val="39"/>
    <w:pPr>
      <w:widowControl/>
      <w:tabs>
        <w:tab w:val="right" w:leader="dot" w:pos="8296"/>
      </w:tabs>
      <w:spacing w:after="100"/>
      <w:ind w:left="220" w:firstLine="440" w:firstLineChars="200"/>
      <w:jc w:val="left"/>
    </w:pPr>
    <w:rPr>
      <w:rFonts w:eastAsia="仿宋"/>
      <w:kern w:val="0"/>
      <w:sz w:val="22"/>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99"/>
    <w:rPr>
      <w:color w:val="0000FF"/>
      <w:u w:val="single"/>
    </w:rPr>
  </w:style>
  <w:style w:type="character" w:customStyle="1" w:styleId="18">
    <w:name w:val="智业正文 Char"/>
    <w:link w:val="19"/>
    <w:autoRedefine/>
    <w:qFormat/>
    <w:uiPriority w:val="0"/>
    <w:rPr>
      <w:rFonts w:ascii="宋体" w:hAnsi="宋体" w:eastAsia="宋体" w:cs="Times New Roman"/>
      <w:sz w:val="24"/>
      <w:szCs w:val="24"/>
    </w:rPr>
  </w:style>
  <w:style w:type="paragraph" w:customStyle="1" w:styleId="19">
    <w:name w:val="智业正文"/>
    <w:basedOn w:val="1"/>
    <w:link w:val="18"/>
    <w:autoRedefine/>
    <w:qFormat/>
    <w:uiPriority w:val="0"/>
    <w:pPr>
      <w:spacing w:line="360" w:lineRule="auto"/>
      <w:ind w:firstLine="200" w:firstLineChars="200"/>
    </w:pPr>
    <w:rPr>
      <w:rFonts w:ascii="宋体" w:hAnsi="宋体" w:eastAsia="宋体" w:cs="Times New Roman"/>
      <w:sz w:val="24"/>
      <w:szCs w:val="24"/>
    </w:rPr>
  </w:style>
  <w:style w:type="character" w:customStyle="1" w:styleId="20">
    <w:name w:val="日期 Char"/>
    <w:basedOn w:val="16"/>
    <w:link w:val="8"/>
    <w:autoRedefine/>
    <w:semiHidden/>
    <w:qFormat/>
    <w:uiPriority w:val="99"/>
  </w:style>
  <w:style w:type="character" w:customStyle="1" w:styleId="21">
    <w:name w:val="标题 1 Char"/>
    <w:basedOn w:val="16"/>
    <w:link w:val="3"/>
    <w:autoRedefine/>
    <w:qFormat/>
    <w:uiPriority w:val="0"/>
    <w:rPr>
      <w:rFonts w:eastAsiaTheme="majorEastAsia"/>
      <w:b/>
      <w:bCs/>
      <w:kern w:val="44"/>
      <w:sz w:val="32"/>
      <w:szCs w:val="44"/>
    </w:rPr>
  </w:style>
  <w:style w:type="character" w:customStyle="1" w:styleId="22">
    <w:name w:val="标题 2 Char"/>
    <w:basedOn w:val="16"/>
    <w:link w:val="4"/>
    <w:autoRedefine/>
    <w:qFormat/>
    <w:uiPriority w:val="0"/>
    <w:rPr>
      <w:rFonts w:asciiTheme="majorHAnsi" w:hAnsiTheme="majorHAnsi" w:eastAsiaTheme="majorEastAsia" w:cstheme="majorBidi"/>
      <w:b/>
      <w:bCs/>
      <w:sz w:val="30"/>
      <w:szCs w:val="32"/>
    </w:rPr>
  </w:style>
  <w:style w:type="character" w:customStyle="1" w:styleId="23">
    <w:name w:val="页眉 Char"/>
    <w:basedOn w:val="16"/>
    <w:link w:val="11"/>
    <w:autoRedefine/>
    <w:qFormat/>
    <w:uiPriority w:val="99"/>
    <w:rPr>
      <w:rFonts w:eastAsia="仿宋"/>
      <w:sz w:val="18"/>
      <w:szCs w:val="18"/>
    </w:rPr>
  </w:style>
  <w:style w:type="character" w:customStyle="1" w:styleId="24">
    <w:name w:val="页脚 Char"/>
    <w:basedOn w:val="16"/>
    <w:link w:val="10"/>
    <w:autoRedefine/>
    <w:qFormat/>
    <w:uiPriority w:val="99"/>
    <w:rPr>
      <w:rFonts w:eastAsia="仿宋"/>
      <w:sz w:val="18"/>
      <w:szCs w:val="18"/>
    </w:rPr>
  </w:style>
  <w:style w:type="paragraph" w:customStyle="1" w:styleId="25">
    <w:name w:val="TOC Heading"/>
    <w:basedOn w:val="3"/>
    <w:next w:val="1"/>
    <w:autoRedefine/>
    <w:unhideWhenUsed/>
    <w:qFormat/>
    <w:uiPriority w:val="39"/>
    <w:pPr>
      <w:widowControl/>
      <w:spacing w:before="480" w:after="0" w:line="276" w:lineRule="auto"/>
      <w:outlineLvl w:val="9"/>
    </w:pPr>
    <w:rPr>
      <w:rFonts w:asciiTheme="majorHAnsi" w:hAnsiTheme="majorHAnsi" w:cstheme="majorBidi"/>
      <w:color w:val="376092" w:themeColor="accent1" w:themeShade="BF"/>
      <w:kern w:val="0"/>
      <w:sz w:val="28"/>
      <w:szCs w:val="28"/>
    </w:rPr>
  </w:style>
  <w:style w:type="paragraph" w:styleId="26">
    <w:name w:val="List Paragraph"/>
    <w:basedOn w:val="1"/>
    <w:link w:val="27"/>
    <w:autoRedefine/>
    <w:unhideWhenUsed/>
    <w:qFormat/>
    <w:uiPriority w:val="34"/>
    <w:pPr>
      <w:spacing w:line="360" w:lineRule="auto"/>
      <w:ind w:firstLine="420" w:firstLineChars="200"/>
    </w:pPr>
    <w:rPr>
      <w:rFonts w:eastAsia="仿宋"/>
      <w:sz w:val="24"/>
      <w:szCs w:val="24"/>
    </w:rPr>
  </w:style>
  <w:style w:type="character" w:customStyle="1" w:styleId="27">
    <w:name w:val="列出段落 Char"/>
    <w:basedOn w:val="16"/>
    <w:link w:val="26"/>
    <w:autoRedefine/>
    <w:qFormat/>
    <w:uiPriority w:val="34"/>
    <w:rPr>
      <w:rFonts w:eastAsia="仿宋"/>
      <w:sz w:val="24"/>
      <w:szCs w:val="24"/>
    </w:rPr>
  </w:style>
  <w:style w:type="character" w:customStyle="1" w:styleId="28">
    <w:name w:val="批注框文本 Char"/>
    <w:basedOn w:val="16"/>
    <w:link w:val="9"/>
    <w:autoRedefine/>
    <w:semiHidden/>
    <w:qFormat/>
    <w:uiPriority w:val="99"/>
    <w:rPr>
      <w:sz w:val="18"/>
      <w:szCs w:val="18"/>
    </w:rPr>
  </w:style>
  <w:style w:type="character" w:customStyle="1" w:styleId="29">
    <w:name w:val="标题 3 Char"/>
    <w:basedOn w:val="16"/>
    <w:link w:val="5"/>
    <w:autoRedefine/>
    <w:qFormat/>
    <w:uiPriority w:val="9"/>
    <w:rPr>
      <w:rFonts w:eastAsiaTheme="majorEastAsia"/>
      <w:b/>
      <w:bCs/>
      <w:sz w:val="28"/>
      <w:szCs w:val="32"/>
    </w:rPr>
  </w:style>
  <w:style w:type="character" w:customStyle="1" w:styleId="30">
    <w:name w:val="*正文 Char"/>
    <w:link w:val="31"/>
    <w:autoRedefine/>
    <w:qFormat/>
    <w:uiPriority w:val="0"/>
    <w:rPr>
      <w:rFonts w:ascii="Times New Roman" w:hAnsi="Times New Roman" w:eastAsia="宋体"/>
      <w:sz w:val="24"/>
      <w:szCs w:val="28"/>
    </w:rPr>
  </w:style>
  <w:style w:type="paragraph" w:customStyle="1" w:styleId="31">
    <w:name w:val="*正文"/>
    <w:basedOn w:val="1"/>
    <w:link w:val="30"/>
    <w:autoRedefine/>
    <w:qFormat/>
    <w:uiPriority w:val="0"/>
    <w:pPr>
      <w:widowControl/>
      <w:spacing w:line="360" w:lineRule="auto"/>
      <w:ind w:firstLine="200" w:firstLineChars="200"/>
      <w:jc w:val="left"/>
    </w:pPr>
    <w:rPr>
      <w:rFonts w:ascii="Times New Roman" w:hAnsi="Times New Roman" w:eastAsia="宋体"/>
      <w:sz w:val="24"/>
      <w:szCs w:val="28"/>
    </w:rPr>
  </w:style>
  <w:style w:type="paragraph" w:styleId="3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列表段落 字符"/>
    <w:basedOn w:val="16"/>
    <w:link w:val="34"/>
    <w:autoRedefine/>
    <w:qFormat/>
    <w:uiPriority w:val="0"/>
  </w:style>
  <w:style w:type="paragraph" w:customStyle="1" w:styleId="34">
    <w:name w:val="列表段落"/>
    <w:basedOn w:val="1"/>
    <w:link w:val="33"/>
    <w:autoRedefine/>
    <w:qFormat/>
    <w:uiPriority w:val="0"/>
    <w:pPr>
      <w:ind w:firstLine="420" w:firstLineChars="200"/>
    </w:pPr>
  </w:style>
  <w:style w:type="character" w:customStyle="1" w:styleId="35">
    <w:name w:val="正文缩进2字符 Char"/>
    <w:link w:val="36"/>
    <w:autoRedefine/>
    <w:qFormat/>
    <w:locked/>
    <w:uiPriority w:val="0"/>
    <w:rPr>
      <w:rFonts w:ascii="Calibri" w:hAnsi="Calibri" w:cs="宋体"/>
      <w:sz w:val="24"/>
    </w:rPr>
  </w:style>
  <w:style w:type="paragraph" w:customStyle="1" w:styleId="36">
    <w:name w:val="正文缩进2字符"/>
    <w:basedOn w:val="1"/>
    <w:link w:val="35"/>
    <w:autoRedefine/>
    <w:qFormat/>
    <w:uiPriority w:val="0"/>
    <w:pPr>
      <w:spacing w:line="360" w:lineRule="auto"/>
      <w:ind w:firstLine="480" w:firstLineChars="200"/>
    </w:pPr>
    <w:rPr>
      <w:rFonts w:ascii="Calibri" w:hAnsi="Calibri" w:cs="宋体"/>
      <w:sz w:val="24"/>
    </w:rPr>
  </w:style>
  <w:style w:type="paragraph" w:customStyle="1" w:styleId="37">
    <w:name w:val="15、“一、”二级标题"/>
    <w:basedOn w:val="1"/>
    <w:autoRedefine/>
    <w:qFormat/>
    <w:uiPriority w:val="0"/>
    <w:pPr>
      <w:numPr>
        <w:ilvl w:val="1"/>
        <w:numId w:val="1"/>
      </w:numPr>
      <w:tabs>
        <w:tab w:val="left" w:pos="0"/>
      </w:tabs>
      <w:wordWrap w:val="0"/>
      <w:topLinePunct/>
      <w:ind w:firstLine="803" w:firstLineChars="200"/>
      <w:outlineLvl w:val="1"/>
    </w:pPr>
    <w:rPr>
      <w:rFonts w:hAnsi="宋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9101-A252-4790-B507-D1D96DB62CA5}">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511</Characters>
  <Lines>182</Lines>
  <Paragraphs>51</Paragraphs>
  <TotalTime>0</TotalTime>
  <ScaleCrop>false</ScaleCrop>
  <LinksUpToDate>false</LinksUpToDate>
  <CharactersWithSpaces>512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2022-06-01T00:22:00Z</dcterms:created>
  <dc:creator>admin</dc:creator>
  <cp:lastModifiedBy>塞壬</cp:lastModifiedBy>
  <dcterms:modified xsi:type="dcterms:W3CDTF">2024-01-12T01:28:46Z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56BEBDF0507D45CE83590E996CE1985B</vt:lpwstr>
  </property>
</Properties>
</file>