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5580" w14:textId="303DBD0B" w:rsidR="008D0CE6" w:rsidRPr="008D0CE6" w:rsidRDefault="008D0CE6" w:rsidP="00D86213">
      <w:pPr>
        <w:pStyle w:val="11"/>
        <w:ind w:firstLineChars="0" w:firstLine="0"/>
        <w:rPr>
          <w:rFonts w:ascii="宋体" w:hAnsi="宋体" w:cs="宋体"/>
          <w:b/>
          <w:bCs/>
          <w:sz w:val="36"/>
          <w:szCs w:val="36"/>
        </w:rPr>
      </w:pPr>
      <w:r w:rsidRPr="008D0CE6">
        <w:rPr>
          <w:rFonts w:ascii="宋体" w:hAnsi="宋体" w:cs="宋体" w:hint="eastAsia"/>
          <w:b/>
          <w:bCs/>
          <w:sz w:val="36"/>
          <w:szCs w:val="36"/>
        </w:rPr>
        <w:t>附件3</w:t>
      </w:r>
    </w:p>
    <w:p w14:paraId="498AD863" w14:textId="77777777" w:rsidR="00EE5DA0" w:rsidRPr="0037614F" w:rsidRDefault="00EE5DA0" w:rsidP="0037614F">
      <w:pPr>
        <w:pStyle w:val="1"/>
      </w:pPr>
      <w:r w:rsidRPr="0037614F">
        <w:rPr>
          <w:rFonts w:hint="eastAsia"/>
        </w:rPr>
        <w:t>评分标准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993"/>
        <w:gridCol w:w="919"/>
        <w:gridCol w:w="6198"/>
      </w:tblGrid>
      <w:tr w:rsidR="00EE5DA0" w:rsidRPr="00E135DD" w14:paraId="77EF18A9" w14:textId="77777777" w:rsidTr="00303D24"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2973" w14:textId="77777777" w:rsidR="00EE5DA0" w:rsidRPr="00E135DD" w:rsidRDefault="00EE5DA0" w:rsidP="00303D24">
            <w:pPr>
              <w:spacing w:beforeLines="50" w:before="156"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分值构成（总分100分）</w:t>
            </w:r>
          </w:p>
        </w:tc>
      </w:tr>
      <w:tr w:rsidR="00EE5DA0" w:rsidRPr="00E135DD" w14:paraId="743C408C" w14:textId="77777777" w:rsidTr="00303D24"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FD36" w14:textId="77777777" w:rsidR="00EE5DA0" w:rsidRPr="00E135DD" w:rsidRDefault="00EE5DA0" w:rsidP="00303D24">
            <w:pPr>
              <w:spacing w:beforeLines="50" w:before="156"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项目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D729" w14:textId="77777777" w:rsidR="00EE5DA0" w:rsidRPr="00E135DD" w:rsidRDefault="00EE5DA0" w:rsidP="00303D24">
            <w:pPr>
              <w:spacing w:beforeLines="50" w:before="156"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分值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11DF" w14:textId="77777777" w:rsidR="00EE5DA0" w:rsidRPr="00E135DD" w:rsidRDefault="00EE5DA0" w:rsidP="00303D24">
            <w:pPr>
              <w:spacing w:beforeLines="50" w:before="156"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评 分 办 法</w:t>
            </w:r>
          </w:p>
        </w:tc>
      </w:tr>
      <w:tr w:rsidR="00EE5DA0" w:rsidRPr="00E135DD" w14:paraId="01B434B0" w14:textId="77777777" w:rsidTr="00303D24"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1EF7" w14:textId="77777777" w:rsidR="00EE5DA0" w:rsidRPr="00E135DD" w:rsidRDefault="00EE5DA0" w:rsidP="00303D24">
            <w:pPr>
              <w:spacing w:beforeLines="50" w:before="156"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投标报价（30分）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B6FA" w14:textId="77777777" w:rsidR="00EE5DA0" w:rsidRPr="00E135DD" w:rsidRDefault="00EE5DA0" w:rsidP="00303D24">
            <w:pPr>
              <w:pStyle w:val="a7"/>
              <w:spacing w:before="156" w:line="276" w:lineRule="auto"/>
              <w:jc w:val="left"/>
              <w:rPr>
                <w:color w:val="auto"/>
                <w:sz w:val="21"/>
              </w:rPr>
            </w:pPr>
            <w:r w:rsidRPr="00E135DD">
              <w:rPr>
                <w:color w:val="auto"/>
                <w:sz w:val="21"/>
              </w:rPr>
              <w:t>评标基准价：所有有效投标报价的算术平均值作为基准价。</w:t>
            </w:r>
          </w:p>
          <w:p w14:paraId="68D59F6F" w14:textId="77777777" w:rsidR="00EE5DA0" w:rsidRPr="00E135DD" w:rsidRDefault="00EE5DA0" w:rsidP="00303D24">
            <w:pPr>
              <w:pStyle w:val="a7"/>
              <w:spacing w:beforeLines="0" w:line="276" w:lineRule="auto"/>
              <w:jc w:val="left"/>
              <w:rPr>
                <w:color w:val="auto"/>
                <w:sz w:val="21"/>
              </w:rPr>
            </w:pPr>
            <w:r w:rsidRPr="00E135DD">
              <w:rPr>
                <w:color w:val="auto"/>
                <w:sz w:val="21"/>
              </w:rPr>
              <w:t>1）投标价格等于基准价的得满分（30分）；</w:t>
            </w:r>
          </w:p>
          <w:p w14:paraId="66526706" w14:textId="77777777" w:rsidR="00EE5DA0" w:rsidRPr="00E135DD" w:rsidRDefault="00EE5DA0" w:rsidP="00303D24">
            <w:pPr>
              <w:pStyle w:val="a7"/>
              <w:spacing w:beforeLines="0" w:line="276" w:lineRule="auto"/>
              <w:jc w:val="left"/>
              <w:rPr>
                <w:color w:val="auto"/>
                <w:sz w:val="21"/>
              </w:rPr>
            </w:pPr>
            <w:r w:rsidRPr="00E135DD">
              <w:rPr>
                <w:color w:val="auto"/>
                <w:sz w:val="21"/>
              </w:rPr>
              <w:t>2）投标价格与评标基准价相比，高出评标基准价的，每高出1%在基本分的基础上扣0.5分，最多扣10分；</w:t>
            </w:r>
          </w:p>
          <w:p w14:paraId="02473B22" w14:textId="77777777" w:rsidR="00EE5DA0" w:rsidRPr="00E135DD" w:rsidRDefault="00EE5DA0" w:rsidP="00303D24">
            <w:pPr>
              <w:pStyle w:val="a7"/>
              <w:spacing w:beforeLines="0" w:line="276" w:lineRule="auto"/>
              <w:jc w:val="left"/>
              <w:rPr>
                <w:color w:val="auto"/>
                <w:sz w:val="21"/>
              </w:rPr>
            </w:pPr>
            <w:r w:rsidRPr="00E135DD">
              <w:rPr>
                <w:color w:val="auto"/>
                <w:sz w:val="21"/>
              </w:rPr>
              <w:t>3）投标价格与评标基准价相比，低于评标基准价的，每低出1%在基本分的基础上扣0.3分，最多扣10分；</w:t>
            </w:r>
          </w:p>
        </w:tc>
      </w:tr>
      <w:tr w:rsidR="00EE5DA0" w:rsidRPr="00E135DD" w14:paraId="3FF295FA" w14:textId="77777777" w:rsidTr="00303D24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5F34B" w14:textId="77777777" w:rsidR="00EE5DA0" w:rsidRPr="00E135DD" w:rsidRDefault="00EE5DA0" w:rsidP="00303D24">
            <w:pPr>
              <w:spacing w:beforeLines="50" w:before="156" w:line="276" w:lineRule="auto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技术部分（45分）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36D4A" w14:textId="77777777" w:rsidR="00EE5DA0" w:rsidRPr="00E135DD" w:rsidRDefault="00EE5DA0" w:rsidP="00303D2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技术指标响应程度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49B8F" w14:textId="77777777" w:rsidR="00EE5DA0" w:rsidRPr="00E135DD" w:rsidRDefault="00EE5DA0" w:rsidP="00303D2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30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0712D" w14:textId="77777777" w:rsidR="00EE5DA0" w:rsidRPr="00E135DD" w:rsidRDefault="00EE5DA0" w:rsidP="00303D24">
            <w:pPr>
              <w:spacing w:beforeLines="50" w:before="156"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根据投标文件对招标文件要求指标的响应程度评分：加“</w:t>
            </w:r>
            <w:r w:rsidRPr="00E135DD">
              <w:rPr>
                <w:rFonts w:ascii="宋体" w:eastAsia="宋体" w:hAnsi="宋体" w:cs="宋体" w:hint="eastAsia"/>
                <w:szCs w:val="21"/>
              </w:rPr>
              <w:t>★</w:t>
            </w:r>
            <w:r w:rsidRPr="00E135DD">
              <w:rPr>
                <w:rFonts w:ascii="宋体" w:eastAsia="宋体" w:hAnsi="宋体"/>
                <w:szCs w:val="21"/>
              </w:rPr>
              <w:t>号”部分指标为必须满足项，有任意一项不满足则</w:t>
            </w:r>
            <w:proofErr w:type="gramStart"/>
            <w:r w:rsidRPr="00E135DD">
              <w:rPr>
                <w:rFonts w:ascii="宋体" w:eastAsia="宋体" w:hAnsi="宋体"/>
                <w:szCs w:val="21"/>
              </w:rPr>
              <w:t>按废标处理</w:t>
            </w:r>
            <w:proofErr w:type="gramEnd"/>
            <w:r w:rsidRPr="00E135DD">
              <w:rPr>
                <w:rFonts w:ascii="宋体" w:eastAsia="宋体" w:hAnsi="宋体"/>
                <w:szCs w:val="21"/>
              </w:rPr>
              <w:t>；其他部分指标每一项不满足扣3分，扣完为止。</w:t>
            </w:r>
          </w:p>
        </w:tc>
      </w:tr>
      <w:tr w:rsidR="00EE5DA0" w:rsidRPr="00E135DD" w14:paraId="5EFE94B1" w14:textId="77777777" w:rsidTr="00303D24"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06E5C" w14:textId="77777777" w:rsidR="00EE5DA0" w:rsidRPr="00E135DD" w:rsidRDefault="00EE5DA0" w:rsidP="00303D24">
            <w:pPr>
              <w:spacing w:beforeLines="50" w:before="156"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6B7C1" w14:textId="77777777" w:rsidR="00EE5DA0" w:rsidRPr="00E135DD" w:rsidRDefault="00EE5DA0" w:rsidP="00303D2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方案设计和项目实施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45C60" w14:textId="77777777" w:rsidR="00EE5DA0" w:rsidRPr="00E135DD" w:rsidRDefault="00EE5DA0" w:rsidP="00303D2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15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8B30D" w14:textId="77777777" w:rsidR="00EE5DA0" w:rsidRPr="00E135DD" w:rsidRDefault="00EE5DA0" w:rsidP="00303D24">
            <w:pPr>
              <w:spacing w:beforeLines="50" w:before="156"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1、根据投标人提供的项目设计方案进行综合评估，满分5分。</w:t>
            </w:r>
          </w:p>
          <w:p w14:paraId="4FD9F461" w14:textId="77777777" w:rsidR="00EE5DA0" w:rsidRPr="00E135DD" w:rsidRDefault="00EE5DA0" w:rsidP="00303D24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评分依据：1）产品能最大限度满足采购人需求，项目</w:t>
            </w:r>
            <w:proofErr w:type="gramStart"/>
            <w:r w:rsidRPr="00E135DD">
              <w:rPr>
                <w:rFonts w:ascii="宋体" w:eastAsia="宋体" w:hAnsi="宋体"/>
                <w:szCs w:val="21"/>
              </w:rPr>
              <w:t>技术技术</w:t>
            </w:r>
            <w:proofErr w:type="gramEnd"/>
            <w:r w:rsidRPr="00E135DD">
              <w:rPr>
                <w:rFonts w:ascii="宋体" w:eastAsia="宋体" w:hAnsi="宋体"/>
                <w:szCs w:val="21"/>
              </w:rPr>
              <w:t>方案合理可行，具备较强的物联网扩展性，得4-5分；2）方案合理，满足采购人系统运行需要，得2-3分；3）方案存在一定瑕疵，但仍能基本满足需要，得0-1分。</w:t>
            </w:r>
          </w:p>
          <w:p w14:paraId="77811469" w14:textId="77777777" w:rsidR="00EE5DA0" w:rsidRPr="00E135DD" w:rsidRDefault="00EE5DA0" w:rsidP="00303D24">
            <w:pPr>
              <w:spacing w:beforeLines="50" w:before="156"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2、根据投标人所提供物联网业务系统的HL7、WEB Service、视图对接文档等情况综合评估，满分3分。</w:t>
            </w:r>
          </w:p>
          <w:p w14:paraId="2DF904EB" w14:textId="77777777" w:rsidR="00EE5DA0" w:rsidRPr="00E135DD" w:rsidRDefault="00EE5DA0" w:rsidP="00303D24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评分依据：1）系统方案具备以上三种技术、且方案内容详细的得3分；2）系统方案只具备以上一种技术，方案内容简单的得1-2 分；未提供不得分。</w:t>
            </w:r>
          </w:p>
          <w:p w14:paraId="453E801D" w14:textId="77777777" w:rsidR="00EE5DA0" w:rsidRPr="00E135DD" w:rsidRDefault="00EE5DA0" w:rsidP="00303D24">
            <w:pPr>
              <w:spacing w:beforeLines="50" w:before="156"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3、根据投标人提供的项目实施方案（包括项目实施计划、实施队伍、项目管理，以及方案的科学性、稳定性、安全性等）进行综合评价，满分5分。</w:t>
            </w:r>
          </w:p>
          <w:p w14:paraId="09C5C316" w14:textId="77777777" w:rsidR="00EE5DA0" w:rsidRPr="00E135DD" w:rsidRDefault="00EE5DA0" w:rsidP="00303D24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评分依据：1）项目实施方案合理可行，实施队伍人员配备合理，实施进度清晰明确的，得4-5分；2）项目实施方案、实施队伍人员配备、实施进度存在一定瑕疵的，得2-3分；3）项目实施方案估算不足，实施队伍人员配备不合理，实施进度模糊的，得0-1分。</w:t>
            </w:r>
          </w:p>
          <w:p w14:paraId="02D9E1B6" w14:textId="77777777" w:rsidR="00EE5DA0" w:rsidRPr="00E135DD" w:rsidRDefault="00EE5DA0" w:rsidP="00303D24">
            <w:pPr>
              <w:spacing w:beforeLines="50" w:before="156"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4、根据投标人的培训方案（包括培训计划、培训内容和课程安排等）进行综合评价，满分2分。</w:t>
            </w:r>
          </w:p>
          <w:p w14:paraId="7BB4B7DD" w14:textId="77777777" w:rsidR="00EE5DA0" w:rsidRPr="00E135DD" w:rsidRDefault="00EE5DA0" w:rsidP="00303D24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lastRenderedPageBreak/>
              <w:t>评分依据：1）方案完全符合或优于招标要求的，得2分；2）基本满足招标文件要求，但存在瑕疵的，得0-1分。</w:t>
            </w:r>
          </w:p>
        </w:tc>
      </w:tr>
      <w:tr w:rsidR="00EE5DA0" w:rsidRPr="00E135DD" w14:paraId="0724F439" w14:textId="77777777" w:rsidTr="00303D24">
        <w:tc>
          <w:tcPr>
            <w:tcW w:w="6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B415C" w14:textId="77777777" w:rsidR="00EE5DA0" w:rsidRPr="00E135DD" w:rsidRDefault="00EE5DA0" w:rsidP="00303D24">
            <w:pPr>
              <w:spacing w:beforeLines="50" w:before="156" w:line="276" w:lineRule="auto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lastRenderedPageBreak/>
              <w:t>商务部分</w:t>
            </w:r>
          </w:p>
          <w:p w14:paraId="4A275850" w14:textId="77777777" w:rsidR="00EE5DA0" w:rsidRPr="00E135DD" w:rsidRDefault="00EE5DA0" w:rsidP="00303D24">
            <w:pPr>
              <w:spacing w:beforeLines="50" w:before="156" w:line="276" w:lineRule="auto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（25分）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3D27F" w14:textId="77777777" w:rsidR="00EE5DA0" w:rsidRPr="00E135DD" w:rsidRDefault="00EE5DA0" w:rsidP="00303D2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售后服务</w:t>
            </w: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F3F63" w14:textId="77777777" w:rsidR="00EE5DA0" w:rsidRPr="00E135DD" w:rsidRDefault="00EE5DA0" w:rsidP="00303D2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F65FF" w14:textId="77777777" w:rsidR="00EE5DA0" w:rsidRPr="00E135DD" w:rsidRDefault="00EE5DA0" w:rsidP="00303D24">
            <w:pPr>
              <w:spacing w:beforeLines="50" w:before="156"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1、根据投标人的售后服务能力进行综合评价，满分2分。</w:t>
            </w:r>
          </w:p>
          <w:p w14:paraId="36C8C7D8" w14:textId="77777777" w:rsidR="00EE5DA0" w:rsidRPr="00E135DD" w:rsidRDefault="00EE5DA0" w:rsidP="00303D24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评分依据：1）有完善的售后服务措施，并有切实可行的售后服务计划以及服务承诺的，得2分；2）有服务承诺，但售后服务措施、售后服务计划基本可行的得1分；3）有服务承诺，但售后服务措施、售后服务计划不够合理的得0.5分；未提供的不得分。</w:t>
            </w:r>
          </w:p>
          <w:p w14:paraId="4FA78C00" w14:textId="77777777" w:rsidR="00EE5DA0" w:rsidRPr="00E135DD" w:rsidRDefault="00EE5DA0" w:rsidP="00303D24">
            <w:pPr>
              <w:spacing w:beforeLines="50" w:before="156"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2、投标人提供7×24小时电话或电子邮件服务，接故障通知后2小时内电话响应，在4小时内赶到现场，一般性故障在24小时内修复的，得1分；</w:t>
            </w:r>
          </w:p>
          <w:p w14:paraId="69B2B05E" w14:textId="77777777" w:rsidR="00EE5DA0" w:rsidRPr="00E135DD" w:rsidRDefault="00EE5DA0" w:rsidP="00303D24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评分依据：提供响应以上售后服务要求的售后服务承诺函，且投标人盖章，否则视为不满足。</w:t>
            </w:r>
          </w:p>
        </w:tc>
      </w:tr>
      <w:tr w:rsidR="00EE5DA0" w:rsidRPr="00E135DD" w14:paraId="3D2877F4" w14:textId="77777777" w:rsidTr="00303D24"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9DBAA" w14:textId="77777777" w:rsidR="00EE5DA0" w:rsidRPr="00E135DD" w:rsidRDefault="00EE5DA0" w:rsidP="00303D24">
            <w:pPr>
              <w:spacing w:beforeLines="50" w:before="156"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CE200" w14:textId="77777777" w:rsidR="00EE5DA0" w:rsidRPr="00E135DD" w:rsidRDefault="00EE5DA0" w:rsidP="00303D2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投标人</w:t>
            </w:r>
            <w:r w:rsidRPr="00E135DD">
              <w:rPr>
                <w:rFonts w:ascii="宋体" w:eastAsia="宋体" w:hAnsi="宋体"/>
                <w:szCs w:val="21"/>
              </w:rPr>
              <w:t>资质</w:t>
            </w: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6DA4A" w14:textId="77777777" w:rsidR="00EE5DA0" w:rsidRPr="00E135DD" w:rsidRDefault="00EE5DA0" w:rsidP="00303D2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11CE0" w14:textId="77777777" w:rsidR="00EE5DA0" w:rsidRPr="00E135DD" w:rsidRDefault="00EE5DA0" w:rsidP="00303D24">
            <w:pPr>
              <w:spacing w:beforeLines="50" w:before="156"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1、</w:t>
            </w:r>
            <w:r>
              <w:rPr>
                <w:rFonts w:ascii="宋体" w:eastAsia="宋体" w:hAnsi="宋体" w:hint="eastAsia"/>
                <w:szCs w:val="21"/>
              </w:rPr>
              <w:t>投标人</w:t>
            </w:r>
            <w:r w:rsidRPr="00E135DD">
              <w:rPr>
                <w:rFonts w:ascii="宋体" w:eastAsia="宋体" w:hAnsi="宋体"/>
                <w:szCs w:val="21"/>
              </w:rPr>
              <w:t>应同时具备ISO9001质量体系认证、ISO14001环境管理体系认证、ISO20000信息技术服务管理体系认证、ISO27001 信息安全服务管理体系认证、ISO45001职业健康安全管理体系认证，得2分。</w:t>
            </w:r>
          </w:p>
          <w:p w14:paraId="65CDAEF7" w14:textId="77777777" w:rsidR="00EE5DA0" w:rsidRPr="00E135DD" w:rsidRDefault="00EE5DA0" w:rsidP="00303D24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评分依据：提供相关认证证书复印件并加盖原厂公章，</w:t>
            </w:r>
            <w:proofErr w:type="gramStart"/>
            <w:r w:rsidRPr="00E135DD">
              <w:rPr>
                <w:rFonts w:ascii="宋体" w:eastAsia="宋体" w:hAnsi="宋体"/>
                <w:szCs w:val="21"/>
              </w:rPr>
              <w:t>缺任一项</w:t>
            </w:r>
            <w:proofErr w:type="gramEnd"/>
            <w:r w:rsidRPr="00E135DD">
              <w:rPr>
                <w:rFonts w:ascii="宋体" w:eastAsia="宋体" w:hAnsi="宋体"/>
                <w:szCs w:val="21"/>
              </w:rPr>
              <w:t>视为不满足。</w:t>
            </w:r>
          </w:p>
          <w:p w14:paraId="1EBE21A9" w14:textId="77777777" w:rsidR="00EE5DA0" w:rsidRPr="00E135DD" w:rsidRDefault="00EE5DA0" w:rsidP="00303D24">
            <w:pPr>
              <w:spacing w:beforeLines="50" w:before="156"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2、</w:t>
            </w:r>
            <w:r>
              <w:rPr>
                <w:rFonts w:ascii="宋体" w:eastAsia="宋体" w:hAnsi="宋体" w:hint="eastAsia"/>
                <w:szCs w:val="21"/>
              </w:rPr>
              <w:t>投标人</w:t>
            </w:r>
            <w:r w:rsidRPr="00E135DD">
              <w:rPr>
                <w:rFonts w:ascii="宋体" w:eastAsia="宋体" w:hAnsi="宋体"/>
                <w:szCs w:val="21"/>
              </w:rPr>
              <w:t>应具备电子与智能化工程专业承包二级或以上资质，得2分。</w:t>
            </w:r>
          </w:p>
          <w:p w14:paraId="7F1E0165" w14:textId="77777777" w:rsidR="00EE5DA0" w:rsidRPr="00E135DD" w:rsidRDefault="00EE5DA0" w:rsidP="00303D24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评分依据：提供相关资质证书复印件并加盖原厂公章，否则视为不满足。</w:t>
            </w:r>
          </w:p>
        </w:tc>
      </w:tr>
      <w:tr w:rsidR="00EE5DA0" w:rsidRPr="00E135DD" w14:paraId="147BCF33" w14:textId="77777777" w:rsidTr="00303D24"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E93A5" w14:textId="77777777" w:rsidR="00EE5DA0" w:rsidRPr="00E135DD" w:rsidRDefault="00EE5DA0" w:rsidP="00303D24">
            <w:pPr>
              <w:spacing w:beforeLines="50" w:before="156"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31022" w14:textId="77777777" w:rsidR="00EE5DA0" w:rsidRPr="00E135DD" w:rsidRDefault="00EE5DA0" w:rsidP="00303D2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产品检测报告及证书</w:t>
            </w: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D778" w14:textId="77777777" w:rsidR="00EE5DA0" w:rsidRPr="00E135DD" w:rsidRDefault="00EE5DA0" w:rsidP="00303D24">
            <w:pPr>
              <w:spacing w:beforeLines="50" w:before="156"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FED3" w14:textId="77777777" w:rsidR="00EE5DA0" w:rsidRPr="00E135DD" w:rsidRDefault="00EE5DA0" w:rsidP="00303D24">
            <w:pPr>
              <w:spacing w:beforeLines="50" w:before="156" w:line="276" w:lineRule="auto"/>
              <w:jc w:val="left"/>
              <w:rPr>
                <w:rFonts w:ascii="宋体" w:eastAsia="宋体" w:hAnsi="宋体"/>
                <w:snapToGrid w:val="0"/>
                <w:szCs w:val="21"/>
              </w:rPr>
            </w:pPr>
            <w:r w:rsidRPr="00E135DD">
              <w:rPr>
                <w:rFonts w:ascii="宋体" w:eastAsia="宋体" w:hAnsi="宋体"/>
                <w:snapToGrid w:val="0"/>
                <w:szCs w:val="21"/>
              </w:rPr>
              <w:t>1、提供</w:t>
            </w:r>
            <w:r w:rsidRPr="00923773">
              <w:rPr>
                <w:rFonts w:ascii="宋体" w:eastAsia="宋体" w:hAnsi="宋体" w:hint="eastAsia"/>
                <w:snapToGrid w:val="0"/>
                <w:szCs w:val="21"/>
              </w:rPr>
              <w:t>超宽频天线</w:t>
            </w:r>
            <w:r w:rsidRPr="00E135DD">
              <w:rPr>
                <w:rFonts w:ascii="宋体" w:eastAsia="宋体" w:hAnsi="宋体"/>
                <w:snapToGrid w:val="0"/>
                <w:szCs w:val="21"/>
              </w:rPr>
              <w:t>产品由CNAS和CMA</w:t>
            </w:r>
            <w:r w:rsidRPr="00E135DD">
              <w:rPr>
                <w:rFonts w:ascii="宋体" w:eastAsia="宋体" w:hAnsi="宋体" w:hint="eastAsia"/>
                <w:snapToGrid w:val="0"/>
                <w:szCs w:val="21"/>
              </w:rPr>
              <w:t>认证的</w:t>
            </w:r>
            <w:r w:rsidRPr="00E135DD">
              <w:rPr>
                <w:rFonts w:ascii="宋体" w:eastAsia="宋体" w:hAnsi="宋体"/>
                <w:snapToGrid w:val="0"/>
                <w:szCs w:val="21"/>
              </w:rPr>
              <w:t>第三方检测机构出具的产品检测报告，测试数据应至少包含433MHz、510 MHz、600MHz、800MHz、868MHz、920MHz、1.4GHz、1.8GHz、2.1GHz、2.4GHz、5.15GHz、5.35GHz、5.725GHz和5.85GHz共14个频率的测试结果，且测试结果满足技术要求的，得</w:t>
            </w:r>
            <w:r>
              <w:rPr>
                <w:rFonts w:ascii="宋体" w:eastAsia="宋体" w:hAnsi="宋体" w:hint="eastAsia"/>
                <w:snapToGrid w:val="0"/>
                <w:szCs w:val="21"/>
              </w:rPr>
              <w:t>3</w:t>
            </w:r>
            <w:r w:rsidRPr="00E135DD">
              <w:rPr>
                <w:rFonts w:ascii="宋体" w:eastAsia="宋体" w:hAnsi="宋体"/>
                <w:snapToGrid w:val="0"/>
                <w:szCs w:val="21"/>
              </w:rPr>
              <w:t>分。</w:t>
            </w:r>
          </w:p>
          <w:p w14:paraId="58B88B2A" w14:textId="77777777" w:rsidR="00EE5DA0" w:rsidRPr="00E135DD" w:rsidRDefault="00EE5DA0" w:rsidP="00303D24">
            <w:pPr>
              <w:spacing w:line="276" w:lineRule="auto"/>
              <w:jc w:val="left"/>
              <w:rPr>
                <w:rFonts w:ascii="宋体" w:eastAsia="宋体" w:hAnsi="宋体"/>
                <w:snapToGrid w:val="0"/>
                <w:szCs w:val="21"/>
              </w:rPr>
            </w:pPr>
            <w:r w:rsidRPr="00E135DD">
              <w:rPr>
                <w:rFonts w:ascii="宋体" w:eastAsia="宋体" w:hAnsi="宋体"/>
                <w:snapToGrid w:val="0"/>
                <w:szCs w:val="21"/>
              </w:rPr>
              <w:t>评分依据：提供相关检测报告复印件并加盖原厂公章佐证，否则视为不满足。</w:t>
            </w:r>
          </w:p>
          <w:p w14:paraId="3ABFB209" w14:textId="77777777" w:rsidR="00EE5DA0" w:rsidRPr="00E135DD" w:rsidRDefault="00EE5DA0" w:rsidP="00303D24">
            <w:pPr>
              <w:spacing w:beforeLines="50" w:before="156" w:line="276" w:lineRule="auto"/>
              <w:jc w:val="left"/>
              <w:rPr>
                <w:rFonts w:ascii="宋体" w:eastAsia="宋体" w:hAnsi="宋体"/>
                <w:snapToGrid w:val="0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Cs w:val="21"/>
              </w:rPr>
              <w:t>2</w:t>
            </w:r>
            <w:r w:rsidRPr="00E135DD">
              <w:rPr>
                <w:rFonts w:ascii="宋体" w:eastAsia="宋体" w:hAnsi="宋体"/>
                <w:snapToGrid w:val="0"/>
                <w:szCs w:val="21"/>
              </w:rPr>
              <w:t>、提供</w:t>
            </w:r>
            <w:r w:rsidRPr="004C1501">
              <w:rPr>
                <w:rFonts w:ascii="宋体" w:eastAsia="宋体" w:hAnsi="宋体" w:hint="eastAsia"/>
                <w:kern w:val="0"/>
                <w:szCs w:val="21"/>
              </w:rPr>
              <w:t>医疗物联网传感基站</w:t>
            </w:r>
            <w:r w:rsidRPr="00E135DD">
              <w:rPr>
                <w:rFonts w:ascii="宋体" w:eastAsia="宋体" w:hAnsi="宋体"/>
                <w:snapToGrid w:val="0"/>
                <w:szCs w:val="21"/>
              </w:rPr>
              <w:t>由CNAS和CMA</w:t>
            </w:r>
            <w:r w:rsidRPr="00E135DD">
              <w:rPr>
                <w:rFonts w:ascii="宋体" w:eastAsia="宋体" w:hAnsi="宋体" w:hint="eastAsia"/>
                <w:snapToGrid w:val="0"/>
                <w:szCs w:val="21"/>
              </w:rPr>
              <w:t>认证的</w:t>
            </w:r>
            <w:r w:rsidRPr="00E135DD">
              <w:rPr>
                <w:rFonts w:ascii="宋体" w:eastAsia="宋体" w:hAnsi="宋体"/>
                <w:snapToGrid w:val="0"/>
                <w:szCs w:val="21"/>
              </w:rPr>
              <w:t>第三方检测机构出具的产品检测报告，且产品发射功率满足≤50mW(</w:t>
            </w:r>
            <w:proofErr w:type="spellStart"/>
            <w:r w:rsidRPr="00E135DD">
              <w:rPr>
                <w:rFonts w:ascii="宋体" w:eastAsia="宋体" w:hAnsi="宋体"/>
                <w:snapToGrid w:val="0"/>
                <w:szCs w:val="21"/>
              </w:rPr>
              <w:t>e.r.p</w:t>
            </w:r>
            <w:proofErr w:type="spellEnd"/>
            <w:r w:rsidRPr="00E135DD">
              <w:rPr>
                <w:rFonts w:ascii="宋体" w:eastAsia="宋体" w:hAnsi="宋体"/>
                <w:snapToGrid w:val="0"/>
                <w:szCs w:val="21"/>
              </w:rPr>
              <w:t>)，得</w:t>
            </w:r>
            <w:r>
              <w:rPr>
                <w:rFonts w:ascii="宋体" w:eastAsia="宋体" w:hAnsi="宋体" w:hint="eastAsia"/>
                <w:snapToGrid w:val="0"/>
                <w:szCs w:val="21"/>
              </w:rPr>
              <w:t>3</w:t>
            </w:r>
            <w:r w:rsidRPr="00E135DD">
              <w:rPr>
                <w:rFonts w:ascii="宋体" w:eastAsia="宋体" w:hAnsi="宋体"/>
                <w:snapToGrid w:val="0"/>
                <w:szCs w:val="21"/>
              </w:rPr>
              <w:t>分。</w:t>
            </w:r>
          </w:p>
          <w:p w14:paraId="671DCCB2" w14:textId="77777777" w:rsidR="00EE5DA0" w:rsidRPr="00E135DD" w:rsidRDefault="00EE5DA0" w:rsidP="00303D24">
            <w:pPr>
              <w:spacing w:line="276" w:lineRule="auto"/>
              <w:jc w:val="left"/>
              <w:rPr>
                <w:rFonts w:ascii="宋体" w:eastAsia="宋体" w:hAnsi="宋体"/>
                <w:snapToGrid w:val="0"/>
                <w:szCs w:val="21"/>
              </w:rPr>
            </w:pPr>
            <w:r w:rsidRPr="00E135DD">
              <w:rPr>
                <w:rFonts w:ascii="宋体" w:eastAsia="宋体" w:hAnsi="宋体"/>
                <w:snapToGrid w:val="0"/>
                <w:szCs w:val="21"/>
              </w:rPr>
              <w:t>评分依据：提供相关检测报告复印件并加盖原厂公章佐证，否则视为不满足。</w:t>
            </w:r>
          </w:p>
          <w:p w14:paraId="7D42C92A" w14:textId="77777777" w:rsidR="00EE5DA0" w:rsidRPr="00E135DD" w:rsidRDefault="00EE5DA0" w:rsidP="00303D24">
            <w:pPr>
              <w:spacing w:beforeLines="50" w:before="156" w:line="276" w:lineRule="auto"/>
              <w:jc w:val="left"/>
              <w:rPr>
                <w:rFonts w:ascii="宋体" w:eastAsia="宋体" w:hAnsi="宋体"/>
                <w:snapToGrid w:val="0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Cs w:val="21"/>
              </w:rPr>
              <w:lastRenderedPageBreak/>
              <w:t>3</w:t>
            </w:r>
            <w:r w:rsidRPr="00E135DD">
              <w:rPr>
                <w:rFonts w:ascii="宋体" w:eastAsia="宋体" w:hAnsi="宋体"/>
                <w:snapToGrid w:val="0"/>
                <w:szCs w:val="21"/>
              </w:rPr>
              <w:t>、提供1/2"阻燃馈线由CNAS和CMA</w:t>
            </w:r>
            <w:r w:rsidRPr="00E135DD">
              <w:rPr>
                <w:rFonts w:ascii="宋体" w:eastAsia="宋体" w:hAnsi="宋体" w:hint="eastAsia"/>
                <w:snapToGrid w:val="0"/>
                <w:szCs w:val="21"/>
              </w:rPr>
              <w:t>认证的</w:t>
            </w:r>
            <w:r w:rsidRPr="00E135DD">
              <w:rPr>
                <w:rFonts w:ascii="宋体" w:eastAsia="宋体" w:hAnsi="宋体"/>
                <w:snapToGrid w:val="0"/>
                <w:szCs w:val="21"/>
              </w:rPr>
              <w:t>第三方检测机构出具的产品检测报告，且产品最大衰减常数满足</w:t>
            </w:r>
            <w:r w:rsidRPr="00E135DD">
              <w:rPr>
                <w:rFonts w:ascii="宋体" w:eastAsia="宋体" w:hAnsi="宋体"/>
                <w:kern w:val="0"/>
                <w:szCs w:val="21"/>
              </w:rPr>
              <w:t>最大衰减常数满足≤11.95dB/100m（2400MHz）、≤20.10dB/100m（5800MHz）</w:t>
            </w:r>
            <w:r w:rsidRPr="00E135DD">
              <w:rPr>
                <w:rFonts w:ascii="宋体" w:eastAsia="宋体" w:hAnsi="宋体"/>
                <w:snapToGrid w:val="0"/>
                <w:szCs w:val="21"/>
              </w:rPr>
              <w:t>，加</w:t>
            </w:r>
            <w:r>
              <w:rPr>
                <w:rFonts w:ascii="宋体" w:eastAsia="宋体" w:hAnsi="宋体" w:hint="eastAsia"/>
                <w:snapToGrid w:val="0"/>
                <w:szCs w:val="21"/>
              </w:rPr>
              <w:t>3</w:t>
            </w:r>
            <w:r w:rsidRPr="00E135DD">
              <w:rPr>
                <w:rFonts w:ascii="宋体" w:eastAsia="宋体" w:hAnsi="宋体"/>
                <w:snapToGrid w:val="0"/>
                <w:szCs w:val="21"/>
              </w:rPr>
              <w:t xml:space="preserve"> 分，否则不加分。</w:t>
            </w:r>
          </w:p>
          <w:p w14:paraId="062C3DCF" w14:textId="77777777" w:rsidR="00EE5DA0" w:rsidRPr="00E135DD" w:rsidRDefault="00EE5DA0" w:rsidP="00303D24">
            <w:pPr>
              <w:spacing w:line="276" w:lineRule="auto"/>
              <w:jc w:val="left"/>
              <w:rPr>
                <w:rFonts w:ascii="宋体" w:eastAsia="宋体" w:hAnsi="宋体"/>
                <w:snapToGrid w:val="0"/>
                <w:color w:val="FF0000"/>
                <w:szCs w:val="21"/>
              </w:rPr>
            </w:pPr>
            <w:r w:rsidRPr="00E135DD">
              <w:rPr>
                <w:rFonts w:ascii="宋体" w:eastAsia="宋体" w:hAnsi="宋体"/>
                <w:snapToGrid w:val="0"/>
                <w:szCs w:val="21"/>
              </w:rPr>
              <w:t>评分依据：提供相关检测报告复印件并加盖原厂公章佐证，否则视为不满足。</w:t>
            </w:r>
          </w:p>
          <w:p w14:paraId="6A4BD0E4" w14:textId="77777777" w:rsidR="00EE5DA0" w:rsidRPr="00E135DD" w:rsidRDefault="00EE5DA0" w:rsidP="00303D24">
            <w:pPr>
              <w:spacing w:beforeLines="50" w:before="156" w:line="276" w:lineRule="auto"/>
              <w:jc w:val="left"/>
              <w:rPr>
                <w:rFonts w:ascii="宋体" w:eastAsia="宋体" w:hAnsi="宋体"/>
                <w:snapToGrid w:val="0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Cs w:val="21"/>
              </w:rPr>
              <w:t>4</w:t>
            </w:r>
            <w:r w:rsidRPr="00E135DD">
              <w:rPr>
                <w:rFonts w:ascii="宋体" w:eastAsia="宋体" w:hAnsi="宋体"/>
                <w:snapToGrid w:val="0"/>
                <w:szCs w:val="21"/>
              </w:rPr>
              <w:t>、为证明所投产品的物联网扩展性及制造商软件开发能力，保证产品质量，同时防止产权纠纷，提供由国家版权局颁发的物联网系统相关计算机著作权登记证书，得</w:t>
            </w:r>
            <w:r>
              <w:rPr>
                <w:rFonts w:ascii="宋体" w:eastAsia="宋体" w:hAnsi="宋体" w:hint="eastAsia"/>
                <w:snapToGrid w:val="0"/>
                <w:szCs w:val="21"/>
              </w:rPr>
              <w:t>3</w:t>
            </w:r>
            <w:r w:rsidRPr="00E135DD">
              <w:rPr>
                <w:rFonts w:ascii="宋体" w:eastAsia="宋体" w:hAnsi="宋体"/>
                <w:snapToGrid w:val="0"/>
                <w:szCs w:val="21"/>
              </w:rPr>
              <w:t>分。</w:t>
            </w:r>
          </w:p>
          <w:p w14:paraId="7999987C" w14:textId="77777777" w:rsidR="00EE5DA0" w:rsidRPr="00E135DD" w:rsidRDefault="00EE5DA0" w:rsidP="00303D24">
            <w:pPr>
              <w:spacing w:line="276" w:lineRule="auto"/>
              <w:jc w:val="left"/>
              <w:rPr>
                <w:rFonts w:ascii="宋体" w:eastAsia="宋体" w:hAnsi="宋体"/>
                <w:snapToGrid w:val="0"/>
                <w:szCs w:val="21"/>
              </w:rPr>
            </w:pPr>
            <w:r w:rsidRPr="00E135DD">
              <w:rPr>
                <w:rFonts w:ascii="宋体" w:eastAsia="宋体" w:hAnsi="宋体"/>
                <w:snapToGrid w:val="0"/>
                <w:szCs w:val="21"/>
              </w:rPr>
              <w:t>评分依据：提供证书名称包含</w:t>
            </w:r>
            <w:r>
              <w:rPr>
                <w:rFonts w:ascii="宋体" w:eastAsia="宋体" w:hAnsi="宋体" w:hint="eastAsia"/>
                <w:snapToGrid w:val="0"/>
                <w:szCs w:val="21"/>
              </w:rPr>
              <w:t>“输液监测”、</w:t>
            </w:r>
            <w:r w:rsidRPr="00E135DD">
              <w:rPr>
                <w:rFonts w:ascii="宋体" w:eastAsia="宋体" w:hAnsi="宋体"/>
                <w:snapToGrid w:val="0"/>
                <w:szCs w:val="21"/>
              </w:rPr>
              <w:t>“体温监测”、“冷链管理”、“婴儿防盗”、“生命体征”等计算机著作权登记证书复印件，加盖原厂公章，每提供一个得</w:t>
            </w:r>
            <w:r>
              <w:rPr>
                <w:rFonts w:ascii="宋体" w:eastAsia="宋体" w:hAnsi="宋体" w:hint="eastAsia"/>
                <w:snapToGrid w:val="0"/>
                <w:szCs w:val="21"/>
              </w:rPr>
              <w:t>1</w:t>
            </w:r>
            <w:r w:rsidRPr="00E135DD">
              <w:rPr>
                <w:rFonts w:ascii="宋体" w:eastAsia="宋体" w:hAnsi="宋体"/>
                <w:snapToGrid w:val="0"/>
                <w:szCs w:val="21"/>
              </w:rPr>
              <w:t>分，最多</w:t>
            </w:r>
            <w:r>
              <w:rPr>
                <w:rFonts w:ascii="宋体" w:eastAsia="宋体" w:hAnsi="宋体" w:hint="eastAsia"/>
                <w:snapToGrid w:val="0"/>
                <w:szCs w:val="21"/>
              </w:rPr>
              <w:t>3</w:t>
            </w:r>
            <w:r w:rsidRPr="00E135DD">
              <w:rPr>
                <w:rFonts w:ascii="宋体" w:eastAsia="宋体" w:hAnsi="宋体"/>
                <w:snapToGrid w:val="0"/>
                <w:szCs w:val="21"/>
              </w:rPr>
              <w:t>分，不提供不得分。</w:t>
            </w:r>
          </w:p>
        </w:tc>
      </w:tr>
      <w:tr w:rsidR="00EE5DA0" w:rsidRPr="00E135DD" w14:paraId="2D6FDA6B" w14:textId="77777777" w:rsidTr="00303D24"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89EA2" w14:textId="77777777" w:rsidR="00EE5DA0" w:rsidRPr="00E135DD" w:rsidRDefault="00EE5DA0" w:rsidP="00303D24">
            <w:pPr>
              <w:spacing w:beforeLines="50" w:before="156" w:line="276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A9526" w14:textId="77777777" w:rsidR="00EE5DA0" w:rsidRPr="00E135DD" w:rsidRDefault="00EE5DA0" w:rsidP="00303D24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投标产品案例</w:t>
            </w: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8CD03" w14:textId="77777777" w:rsidR="00EE5DA0" w:rsidRPr="00E135DD" w:rsidRDefault="00EE5DA0" w:rsidP="00303D24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E135DD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CFBF" w14:textId="77777777" w:rsidR="00EE5DA0" w:rsidRPr="00E135DD" w:rsidRDefault="00EE5DA0" w:rsidP="00303D24">
            <w:pPr>
              <w:spacing w:line="276" w:lineRule="auto"/>
              <w:jc w:val="left"/>
              <w:rPr>
                <w:rFonts w:ascii="宋体" w:eastAsia="宋体" w:hAnsi="宋体"/>
                <w:snapToGrid w:val="0"/>
                <w:szCs w:val="21"/>
              </w:rPr>
            </w:pPr>
            <w:r w:rsidRPr="00E135DD">
              <w:rPr>
                <w:rFonts w:ascii="宋体" w:eastAsia="宋体" w:hAnsi="宋体"/>
                <w:snapToGrid w:val="0"/>
                <w:szCs w:val="21"/>
              </w:rPr>
              <w:t>2018年1月1日至今所投产品三级医院类似项目业绩，合同金额200万以上，每个得2分，最高得6分。</w:t>
            </w:r>
          </w:p>
          <w:p w14:paraId="61379C30" w14:textId="77777777" w:rsidR="00EE5DA0" w:rsidRPr="00E135DD" w:rsidRDefault="00EE5DA0" w:rsidP="00303D24">
            <w:pPr>
              <w:spacing w:line="276" w:lineRule="auto"/>
              <w:jc w:val="left"/>
              <w:rPr>
                <w:rFonts w:ascii="宋体" w:eastAsia="宋体" w:hAnsi="宋体"/>
                <w:snapToGrid w:val="0"/>
                <w:szCs w:val="21"/>
              </w:rPr>
            </w:pPr>
            <w:r w:rsidRPr="00E135DD">
              <w:rPr>
                <w:rFonts w:ascii="宋体" w:eastAsia="宋体" w:hAnsi="宋体"/>
                <w:snapToGrid w:val="0"/>
                <w:szCs w:val="21"/>
              </w:rPr>
              <w:t>评分依据：至少提供合同首页、签字页复印件且投标人盖章，合同名称须包含物联网平台字样，如果没有，请在合同中标识出体现本项目招标对应内容，否则视为不满足。</w:t>
            </w:r>
          </w:p>
        </w:tc>
      </w:tr>
    </w:tbl>
    <w:p w14:paraId="52013F66" w14:textId="77777777" w:rsidR="00D86213" w:rsidRPr="00EE5DA0" w:rsidRDefault="00D86213" w:rsidP="00EE5DA0">
      <w:pPr>
        <w:pStyle w:val="11"/>
        <w:ind w:firstLineChars="0" w:firstLine="0"/>
        <w:jc w:val="center"/>
        <w:rPr>
          <w:rFonts w:ascii="宋体" w:hAnsi="宋体"/>
          <w:sz w:val="24"/>
        </w:rPr>
      </w:pPr>
    </w:p>
    <w:sectPr w:rsidR="00D86213" w:rsidRPr="00EE5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ACE38" w14:textId="77777777" w:rsidR="00BC28A7" w:rsidRDefault="00BC28A7" w:rsidP="008D0CE6">
      <w:r>
        <w:separator/>
      </w:r>
    </w:p>
  </w:endnote>
  <w:endnote w:type="continuationSeparator" w:id="0">
    <w:p w14:paraId="5496C588" w14:textId="77777777" w:rsidR="00BC28A7" w:rsidRDefault="00BC28A7" w:rsidP="008D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172ED" w14:textId="77777777" w:rsidR="00BC28A7" w:rsidRDefault="00BC28A7" w:rsidP="008D0CE6">
      <w:r>
        <w:separator/>
      </w:r>
    </w:p>
  </w:footnote>
  <w:footnote w:type="continuationSeparator" w:id="0">
    <w:p w14:paraId="1D253718" w14:textId="77777777" w:rsidR="00BC28A7" w:rsidRDefault="00BC28A7" w:rsidP="008D0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008B0"/>
    <w:multiLevelType w:val="multilevel"/>
    <w:tmpl w:val="8F88DB36"/>
    <w:lvl w:ilvl="0">
      <w:start w:val="1"/>
      <w:numFmt w:val="chi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170" w:firstLine="0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340" w:firstLine="0"/>
      </w:pPr>
      <w:rPr>
        <w:rFonts w:hint="eastAsia"/>
      </w:rPr>
    </w:lvl>
    <w:lvl w:ilvl="3">
      <w:start w:val="1"/>
      <w:numFmt w:val="decimal"/>
      <w:pStyle w:val="4"/>
      <w:isLgl/>
      <w:lvlText w:val="%1.%2.%3.%4"/>
      <w:lvlJc w:val="left"/>
      <w:pPr>
        <w:ind w:left="51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85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02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19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3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5A"/>
    <w:rsid w:val="00077DB1"/>
    <w:rsid w:val="0012635A"/>
    <w:rsid w:val="0037614F"/>
    <w:rsid w:val="00842491"/>
    <w:rsid w:val="008D0CE6"/>
    <w:rsid w:val="00BC28A7"/>
    <w:rsid w:val="00BD2ECC"/>
    <w:rsid w:val="00CA75E2"/>
    <w:rsid w:val="00D61462"/>
    <w:rsid w:val="00D86213"/>
    <w:rsid w:val="00EE5DA0"/>
    <w:rsid w:val="00F2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A3586"/>
  <w15:chartTrackingRefBased/>
  <w15:docId w15:val="{57738911-2450-4906-89BC-FAB27FA3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5A"/>
    <w:pPr>
      <w:widowControl w:val="0"/>
      <w:jc w:val="both"/>
    </w:pPr>
    <w:rPr>
      <w:szCs w:val="24"/>
    </w:rPr>
  </w:style>
  <w:style w:type="paragraph" w:styleId="1">
    <w:name w:val="heading 1"/>
    <w:aliases w:val="标题 1 Char Char Char,一级,H1,章节,章,H11,H12,H111,H13,H112,PIM 1,h1,Section Head,Header1,Heading 0,R1,Level 1 Topic Heading,Section Heading,CSS章标记,heading 1,123321,prop,app heading 1,app heading 11,app heading 12,app heading 111,app heading 13,Heading 11"/>
    <w:basedOn w:val="a"/>
    <w:next w:val="a"/>
    <w:link w:val="10"/>
    <w:autoRedefine/>
    <w:qFormat/>
    <w:rsid w:val="0037614F"/>
    <w:pPr>
      <w:keepNext/>
      <w:keepLines/>
      <w:spacing w:before="240" w:line="360" w:lineRule="auto"/>
      <w:jc w:val="center"/>
      <w:outlineLvl w:val="0"/>
    </w:pPr>
    <w:rPr>
      <w:rFonts w:ascii="Times New Roman" w:eastAsia="宋体" w:hAnsi="Times New Roman" w:cs="Times New Roman"/>
      <w:b/>
      <w:bCs/>
      <w:snapToGrid w:val="0"/>
      <w:sz w:val="36"/>
      <w:szCs w:val="40"/>
    </w:rPr>
  </w:style>
  <w:style w:type="paragraph" w:styleId="2">
    <w:name w:val="heading 2"/>
    <w:aliases w:val="二级,2nd level,h2,2,Header 2,H2,l2,Underrubrik1,prop2,sect 1.2,DO NOT USE_h2,chn,Chapter Number/Appendix Letter,heading 2,第一层条,Heading 2 Hidden,Heading 2 CCBS,PIM2,Titre2,Head 2,PA Major Section,Titre3,HD2,Title2,节标题,I2,l2+toc 2,Section Title,12,R2,节"/>
    <w:basedOn w:val="a"/>
    <w:next w:val="a"/>
    <w:link w:val="20"/>
    <w:unhideWhenUsed/>
    <w:qFormat/>
    <w:rsid w:val="00EE5DA0"/>
    <w:pPr>
      <w:keepNext/>
      <w:keepLines/>
      <w:numPr>
        <w:ilvl w:val="1"/>
        <w:numId w:val="1"/>
      </w:numPr>
      <w:spacing w:line="360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aliases w:val="标题 3 Char Char,BOD 0,h3,H3,sect1.2.3,l3,CT,Level 3 Head,level_3,PIM 3,Heading 3 - old,p...,prop3,3,3heading,Heading 31,1.1.1 Heading 3,标题 3 Char Char Char,heading 3,三级,3rd level,第二层条,sect1.2.31,sect1.2.32,sect1.2.311,sect1.2.33,sect1.2.312,小标题,章标题1"/>
    <w:basedOn w:val="a"/>
    <w:next w:val="a"/>
    <w:link w:val="30"/>
    <w:autoRedefine/>
    <w:unhideWhenUsed/>
    <w:qFormat/>
    <w:rsid w:val="00EE5DA0"/>
    <w:pPr>
      <w:keepNext/>
      <w:keepLines/>
      <w:numPr>
        <w:ilvl w:val="2"/>
        <w:numId w:val="1"/>
      </w:numPr>
      <w:spacing w:line="360" w:lineRule="auto"/>
      <w:outlineLvl w:val="2"/>
    </w:pPr>
    <w:rPr>
      <w:rFonts w:ascii="Times New Roman" w:eastAsia="宋体" w:hAnsi="Times New Roman" w:cs="Times New Roman"/>
      <w:b/>
      <w:bCs/>
      <w:sz w:val="30"/>
      <w:szCs w:val="32"/>
    </w:rPr>
  </w:style>
  <w:style w:type="paragraph" w:styleId="4">
    <w:name w:val="heading 4"/>
    <w:aliases w:val="四级,sect 1.2.3.4,Ref Heading 1,rh1,H4,Heading sql,h4,h41,h42,h43,h411,h44,h412,h45,h413,h46,h414,h47,h48,h415,h49,h410,h416,h417,h418,h419,h420,h4110,h421,heading 4,第三层条,PIM 4,4,sect 1.2.3.41,Ref Heading 11,rh11,sect 1.2.3.42,标题 41,金宏发行标题4,项目标题 4,bl"/>
    <w:basedOn w:val="a"/>
    <w:next w:val="a"/>
    <w:link w:val="40"/>
    <w:autoRedefine/>
    <w:unhideWhenUsed/>
    <w:qFormat/>
    <w:rsid w:val="00EE5DA0"/>
    <w:pPr>
      <w:keepNext/>
      <w:keepLines/>
      <w:numPr>
        <w:ilvl w:val="3"/>
        <w:numId w:val="1"/>
      </w:numPr>
      <w:spacing w:line="360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1"/>
    <w:basedOn w:val="a"/>
    <w:uiPriority w:val="99"/>
    <w:qFormat/>
    <w:rsid w:val="0012635A"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3">
    <w:name w:val="header"/>
    <w:basedOn w:val="a"/>
    <w:link w:val="a4"/>
    <w:uiPriority w:val="99"/>
    <w:unhideWhenUsed/>
    <w:rsid w:val="008D0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0C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0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0CE6"/>
    <w:rPr>
      <w:sz w:val="18"/>
      <w:szCs w:val="18"/>
    </w:rPr>
  </w:style>
  <w:style w:type="character" w:customStyle="1" w:styleId="10">
    <w:name w:val="标题 1 字符"/>
    <w:aliases w:val="标题 1 Char Char Char 字符,一级 字符,H1 字符,章节 字符,章 字符,H11 字符,H12 字符,H111 字符,H13 字符,H112 字符,PIM 1 字符,h1 字符,Section Head 字符,Header1 字符,Heading 0 字符,R1 字符,Level 1 Topic Heading 字符,Section Heading 字符,CSS章标记 字符,heading 1 字符,123321 字符,prop 字符,app heading 1 字符"/>
    <w:basedOn w:val="a0"/>
    <w:link w:val="1"/>
    <w:rsid w:val="0037614F"/>
    <w:rPr>
      <w:rFonts w:ascii="Times New Roman" w:eastAsia="宋体" w:hAnsi="Times New Roman" w:cs="Times New Roman"/>
      <w:b/>
      <w:bCs/>
      <w:snapToGrid w:val="0"/>
      <w:sz w:val="36"/>
      <w:szCs w:val="40"/>
    </w:rPr>
  </w:style>
  <w:style w:type="character" w:customStyle="1" w:styleId="20">
    <w:name w:val="标题 2 字符"/>
    <w:basedOn w:val="a0"/>
    <w:link w:val="2"/>
    <w:rsid w:val="00EE5DA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EE5DA0"/>
    <w:rPr>
      <w:rFonts w:ascii="Times New Roman" w:eastAsia="宋体" w:hAnsi="Times New Roman" w:cs="Times New Roman"/>
      <w:b/>
      <w:bCs/>
      <w:sz w:val="30"/>
      <w:szCs w:val="32"/>
    </w:rPr>
  </w:style>
  <w:style w:type="character" w:customStyle="1" w:styleId="40">
    <w:name w:val="标题 4 字符"/>
    <w:basedOn w:val="a0"/>
    <w:link w:val="4"/>
    <w:rsid w:val="00EE5DA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No Spacing"/>
    <w:link w:val="a8"/>
    <w:uiPriority w:val="1"/>
    <w:qFormat/>
    <w:rsid w:val="00EE5DA0"/>
    <w:pPr>
      <w:widowControl w:val="0"/>
      <w:spacing w:beforeLines="50" w:line="300" w:lineRule="auto"/>
      <w:jc w:val="both"/>
    </w:pPr>
    <w:rPr>
      <w:rFonts w:ascii="宋体" w:eastAsia="宋体" w:hAnsi="宋体" w:cs="Times New Roman"/>
      <w:color w:val="000000"/>
      <w:sz w:val="18"/>
      <w:szCs w:val="21"/>
    </w:rPr>
  </w:style>
  <w:style w:type="character" w:customStyle="1" w:styleId="a8">
    <w:name w:val="无间隔 字符"/>
    <w:link w:val="a7"/>
    <w:uiPriority w:val="1"/>
    <w:qFormat/>
    <w:locked/>
    <w:rsid w:val="00EE5DA0"/>
    <w:rPr>
      <w:rFonts w:ascii="宋体" w:eastAsia="宋体" w:hAnsi="宋体" w:cs="Times New Roman"/>
      <w:color w:val="000000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玉清 何</dc:creator>
  <cp:keywords/>
  <dc:description/>
  <cp:lastModifiedBy>mao qing</cp:lastModifiedBy>
  <cp:revision>7</cp:revision>
  <dcterms:created xsi:type="dcterms:W3CDTF">2021-08-12T07:00:00Z</dcterms:created>
  <dcterms:modified xsi:type="dcterms:W3CDTF">2021-08-30T06:58:00Z</dcterms:modified>
</cp:coreProperties>
</file>