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jc w:val="center"/>
        <w:rPr>
          <w:rFonts w:hint="eastAsia"/>
          <w:color w:val="auto"/>
          <w:lang w:eastAsia="zh-CN"/>
        </w:rPr>
      </w:pPr>
      <w:r>
        <w:rPr>
          <w:rFonts w:hint="eastAsia"/>
          <w:color w:val="auto"/>
          <w:lang w:eastAsia="zh-CN"/>
        </w:rPr>
        <w:t>传染病智能管理监测信息系统维保服务技术及商务要求</w:t>
      </w:r>
    </w:p>
    <w:p>
      <w:pPr>
        <w:numPr>
          <w:ilvl w:val="0"/>
          <w:numId w:val="1"/>
        </w:numPr>
        <w:rPr>
          <w:rFonts w:hint="eastAsia"/>
          <w:color w:val="auto"/>
          <w:lang w:val="en-US" w:eastAsia="zh-CN"/>
        </w:rPr>
      </w:pPr>
      <w:r>
        <w:rPr>
          <w:rFonts w:hint="eastAsia"/>
          <w:b/>
          <w:bCs/>
          <w:color w:val="auto"/>
          <w:lang w:val="en-US" w:eastAsia="zh-CN"/>
        </w:rPr>
        <w:t>履约时间：</w:t>
      </w:r>
      <w:r>
        <w:rPr>
          <w:rFonts w:hint="eastAsia"/>
          <w:color w:val="auto"/>
          <w:u w:val="none"/>
          <w:lang w:val="en-US" w:eastAsia="zh-CN"/>
        </w:rPr>
        <w:t>三年</w:t>
      </w:r>
      <w:r>
        <w:rPr>
          <w:rFonts w:hint="eastAsia"/>
          <w:color w:val="auto"/>
          <w:lang w:val="en-US" w:eastAsia="zh-CN"/>
        </w:rPr>
        <w:t>。维保服务起止日期为2024年12月15 日至2027年12月14日。</w:t>
      </w:r>
    </w:p>
    <w:p>
      <w:pPr>
        <w:numPr>
          <w:ilvl w:val="0"/>
          <w:numId w:val="1"/>
        </w:numPr>
        <w:ind w:left="0" w:leftChars="0" w:firstLine="0" w:firstLineChars="0"/>
        <w:rPr>
          <w:rFonts w:hint="eastAsia"/>
          <w:b/>
          <w:bCs/>
          <w:color w:val="auto"/>
          <w:lang w:val="en-US" w:eastAsia="zh-CN"/>
        </w:rPr>
      </w:pPr>
      <w:r>
        <w:rPr>
          <w:rFonts w:hint="eastAsia"/>
          <w:b/>
          <w:bCs/>
          <w:color w:val="auto"/>
          <w:lang w:val="en-US" w:eastAsia="zh-CN"/>
        </w:rPr>
        <w:t>服务内容</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lang w:val="en-US" w:eastAsia="zh-CN"/>
        </w:rPr>
      </w:pPr>
      <w:r>
        <w:rPr>
          <w:rFonts w:hint="eastAsia"/>
          <w:color w:val="auto"/>
          <w:lang w:val="en-US" w:eastAsia="zh-CN"/>
        </w:rPr>
        <w:t>1.软件数据校验。供应商根据实际情况安排系统的维护、数据检查、传染病相关部门使用的情况以及软件功能改进意见的收集。并将相关情况书面通报相关部门。具体安排如下：</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lang w:val="en-US" w:eastAsia="zh-CN"/>
        </w:rPr>
      </w:pPr>
      <w:r>
        <w:rPr>
          <w:rFonts w:hint="eastAsia"/>
          <w:color w:val="auto"/>
          <w:lang w:val="en-US" w:eastAsia="zh-CN"/>
        </w:rPr>
        <w:t>（1）运行环境检查</w:t>
      </w:r>
    </w:p>
    <w:p>
      <w:pPr>
        <w:keepNext w:val="0"/>
        <w:keepLines w:val="0"/>
        <w:pageBreakBefore w:val="0"/>
        <w:widowControl w:val="0"/>
        <w:kinsoku/>
        <w:wordWrap/>
        <w:overflowPunct/>
        <w:topLinePunct w:val="0"/>
        <w:autoSpaceDE/>
        <w:autoSpaceDN/>
        <w:bidi w:val="0"/>
        <w:adjustRightInd/>
        <w:snapToGrid/>
        <w:ind w:firstLine="630" w:firstLineChars="300"/>
        <w:textAlignment w:val="auto"/>
        <w:rPr>
          <w:rFonts w:hint="eastAsia"/>
          <w:color w:val="auto"/>
          <w:lang w:val="en-US" w:eastAsia="zh-CN"/>
        </w:rPr>
      </w:pPr>
      <w:r>
        <w:rPr>
          <w:rFonts w:hint="eastAsia"/>
          <w:color w:val="auto"/>
          <w:lang w:val="en-US" w:eastAsia="zh-CN"/>
        </w:rPr>
        <w:t>检查传染病和HIS、LIS、电子病例、PASC接口运行是否正常，接口数据是否正确导入。</w:t>
      </w:r>
    </w:p>
    <w:p>
      <w:pPr>
        <w:keepNext w:val="0"/>
        <w:keepLines w:val="0"/>
        <w:pageBreakBefore w:val="0"/>
        <w:widowControl w:val="0"/>
        <w:kinsoku/>
        <w:wordWrap/>
        <w:overflowPunct/>
        <w:topLinePunct w:val="0"/>
        <w:autoSpaceDE/>
        <w:autoSpaceDN/>
        <w:bidi w:val="0"/>
        <w:adjustRightInd/>
        <w:snapToGrid/>
        <w:ind w:firstLine="630" w:firstLineChars="300"/>
        <w:textAlignment w:val="auto"/>
        <w:rPr>
          <w:rFonts w:hint="eastAsia"/>
          <w:color w:val="auto"/>
          <w:lang w:val="en-US" w:eastAsia="zh-CN"/>
        </w:rPr>
      </w:pPr>
      <w:r>
        <w:rPr>
          <w:rFonts w:hint="eastAsia"/>
          <w:color w:val="auto"/>
          <w:lang w:val="en-US" w:eastAsia="zh-CN"/>
        </w:rPr>
        <w:t>备份传染病程序数据。</w:t>
      </w:r>
    </w:p>
    <w:p>
      <w:pPr>
        <w:keepNext w:val="0"/>
        <w:keepLines w:val="0"/>
        <w:pageBreakBefore w:val="0"/>
        <w:widowControl w:val="0"/>
        <w:kinsoku/>
        <w:wordWrap/>
        <w:overflowPunct/>
        <w:topLinePunct w:val="0"/>
        <w:autoSpaceDE/>
        <w:autoSpaceDN/>
        <w:bidi w:val="0"/>
        <w:adjustRightInd/>
        <w:snapToGrid/>
        <w:ind w:firstLine="630" w:firstLineChars="300"/>
        <w:textAlignment w:val="auto"/>
        <w:rPr>
          <w:rFonts w:hint="eastAsia"/>
          <w:color w:val="auto"/>
          <w:lang w:val="en-US" w:eastAsia="zh-CN"/>
        </w:rPr>
      </w:pPr>
      <w:r>
        <w:rPr>
          <w:rFonts w:hint="eastAsia"/>
          <w:color w:val="auto"/>
          <w:lang w:val="en-US" w:eastAsia="zh-CN"/>
        </w:rPr>
        <w:t>服务器运行情况检查（服务器垃圾清理、内存清理、各个磁盘容量检查、CPU负荷检查等。</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lang w:val="en-US" w:eastAsia="zh-CN"/>
        </w:rPr>
      </w:pPr>
      <w:bookmarkStart w:id="0" w:name="OLE_LINK2"/>
      <w:bookmarkStart w:id="1" w:name="OLE_LINK1"/>
      <w:r>
        <w:rPr>
          <w:rFonts w:hint="eastAsia"/>
          <w:color w:val="auto"/>
          <w:lang w:val="en-US" w:eastAsia="zh-CN"/>
        </w:rPr>
        <w:t>（2）数据检查</w:t>
      </w:r>
    </w:p>
    <w:bookmarkEnd w:id="0"/>
    <w:bookmarkEnd w:id="1"/>
    <w:p>
      <w:pPr>
        <w:keepNext w:val="0"/>
        <w:keepLines w:val="0"/>
        <w:pageBreakBefore w:val="0"/>
        <w:widowControl w:val="0"/>
        <w:kinsoku/>
        <w:wordWrap/>
        <w:overflowPunct/>
        <w:topLinePunct w:val="0"/>
        <w:autoSpaceDE/>
        <w:autoSpaceDN/>
        <w:bidi w:val="0"/>
        <w:adjustRightInd/>
        <w:snapToGrid/>
        <w:ind w:firstLine="630" w:firstLineChars="300"/>
        <w:textAlignment w:val="auto"/>
        <w:rPr>
          <w:rFonts w:hint="eastAsia"/>
          <w:color w:val="auto"/>
          <w:lang w:val="en-US" w:eastAsia="zh-CN"/>
        </w:rPr>
      </w:pPr>
      <w:r>
        <w:rPr>
          <w:rFonts w:hint="eastAsia"/>
          <w:color w:val="auto"/>
          <w:lang w:val="en-US" w:eastAsia="zh-CN"/>
        </w:rPr>
        <w:t>检查预防保健科审核的病例数据是否完整；</w:t>
      </w:r>
    </w:p>
    <w:p>
      <w:pPr>
        <w:keepNext w:val="0"/>
        <w:keepLines w:val="0"/>
        <w:pageBreakBefore w:val="0"/>
        <w:widowControl w:val="0"/>
        <w:kinsoku/>
        <w:wordWrap/>
        <w:overflowPunct/>
        <w:topLinePunct w:val="0"/>
        <w:autoSpaceDE/>
        <w:autoSpaceDN/>
        <w:bidi w:val="0"/>
        <w:adjustRightInd/>
        <w:snapToGrid/>
        <w:ind w:firstLine="630" w:firstLineChars="300"/>
        <w:textAlignment w:val="auto"/>
        <w:rPr>
          <w:rFonts w:hint="eastAsia"/>
          <w:color w:val="auto"/>
          <w:lang w:val="en-US" w:eastAsia="zh-CN"/>
        </w:rPr>
      </w:pPr>
      <w:r>
        <w:rPr>
          <w:rFonts w:hint="eastAsia"/>
          <w:color w:val="auto"/>
          <w:lang w:val="en-US" w:eastAsia="zh-CN"/>
        </w:rPr>
        <w:t>调整传染病等预警关键字；</w:t>
      </w:r>
    </w:p>
    <w:p>
      <w:pPr>
        <w:keepNext w:val="0"/>
        <w:keepLines w:val="0"/>
        <w:pageBreakBefore w:val="0"/>
        <w:widowControl w:val="0"/>
        <w:kinsoku/>
        <w:wordWrap/>
        <w:overflowPunct/>
        <w:topLinePunct w:val="0"/>
        <w:autoSpaceDE/>
        <w:autoSpaceDN/>
        <w:bidi w:val="0"/>
        <w:adjustRightInd/>
        <w:snapToGrid/>
        <w:ind w:firstLine="630" w:firstLineChars="300"/>
        <w:textAlignment w:val="auto"/>
        <w:rPr>
          <w:rFonts w:hint="eastAsia"/>
          <w:color w:val="auto"/>
          <w:lang w:val="en-US" w:eastAsia="zh-CN"/>
        </w:rPr>
      </w:pPr>
      <w:r>
        <w:rPr>
          <w:rFonts w:hint="eastAsia"/>
          <w:color w:val="auto"/>
          <w:lang w:val="en-US" w:eastAsia="zh-CN"/>
        </w:rPr>
        <w:t>检查上报数据报卡是否都能正确上报数据；</w:t>
      </w:r>
    </w:p>
    <w:p>
      <w:pPr>
        <w:keepNext w:val="0"/>
        <w:keepLines w:val="0"/>
        <w:pageBreakBefore w:val="0"/>
        <w:widowControl w:val="0"/>
        <w:kinsoku/>
        <w:wordWrap/>
        <w:overflowPunct/>
        <w:topLinePunct w:val="0"/>
        <w:autoSpaceDE/>
        <w:autoSpaceDN/>
        <w:bidi w:val="0"/>
        <w:adjustRightInd/>
        <w:snapToGrid/>
        <w:ind w:firstLine="630" w:firstLineChars="300"/>
        <w:textAlignment w:val="auto"/>
        <w:rPr>
          <w:rFonts w:hint="eastAsia"/>
          <w:color w:val="auto"/>
          <w:lang w:val="en-US" w:eastAsia="zh-CN"/>
        </w:rPr>
      </w:pPr>
      <w:r>
        <w:rPr>
          <w:rFonts w:hint="eastAsia"/>
          <w:color w:val="auto"/>
          <w:lang w:val="en-US" w:eastAsia="zh-CN"/>
        </w:rPr>
        <w:t>检查分析传染病相关数据的后台服务是否正常运行，运行日志是否有错误等；</w:t>
      </w:r>
    </w:p>
    <w:p>
      <w:pPr>
        <w:keepNext w:val="0"/>
        <w:keepLines w:val="0"/>
        <w:pageBreakBefore w:val="0"/>
        <w:widowControl w:val="0"/>
        <w:kinsoku/>
        <w:wordWrap/>
        <w:overflowPunct/>
        <w:topLinePunct w:val="0"/>
        <w:autoSpaceDE/>
        <w:autoSpaceDN/>
        <w:bidi w:val="0"/>
        <w:adjustRightInd/>
        <w:snapToGrid/>
        <w:ind w:firstLine="630" w:firstLineChars="300"/>
        <w:textAlignment w:val="auto"/>
        <w:rPr>
          <w:rFonts w:hint="eastAsia"/>
          <w:color w:val="auto"/>
          <w:lang w:val="en-US" w:eastAsia="zh-CN"/>
        </w:rPr>
      </w:pPr>
      <w:r>
        <w:rPr>
          <w:rFonts w:hint="eastAsia"/>
          <w:color w:val="auto"/>
          <w:lang w:val="en-US" w:eastAsia="zh-CN"/>
        </w:rPr>
        <w:t>检查导入的出院人数信息是否和医院HIS中的出院人数是否一致；</w:t>
      </w:r>
    </w:p>
    <w:p>
      <w:pPr>
        <w:keepNext w:val="0"/>
        <w:keepLines w:val="0"/>
        <w:pageBreakBefore w:val="0"/>
        <w:widowControl w:val="0"/>
        <w:kinsoku/>
        <w:wordWrap/>
        <w:overflowPunct/>
        <w:topLinePunct w:val="0"/>
        <w:autoSpaceDE/>
        <w:autoSpaceDN/>
        <w:bidi w:val="0"/>
        <w:adjustRightInd/>
        <w:snapToGrid/>
        <w:ind w:firstLine="630" w:firstLineChars="300"/>
        <w:textAlignment w:val="auto"/>
        <w:rPr>
          <w:rFonts w:hint="eastAsia"/>
          <w:color w:val="auto"/>
          <w:lang w:val="en-US" w:eastAsia="zh-CN"/>
        </w:rPr>
      </w:pPr>
      <w:r>
        <w:rPr>
          <w:rFonts w:hint="eastAsia"/>
          <w:color w:val="auto"/>
          <w:lang w:val="en-US" w:eastAsia="zh-CN"/>
        </w:rPr>
        <w:t>检查病人的医嘱信息、手术信息、检验信息、电子病例能否正常提取和显示；</w:t>
      </w:r>
    </w:p>
    <w:p>
      <w:pPr>
        <w:keepNext w:val="0"/>
        <w:keepLines w:val="0"/>
        <w:pageBreakBefore w:val="0"/>
        <w:widowControl w:val="0"/>
        <w:kinsoku/>
        <w:wordWrap/>
        <w:overflowPunct/>
        <w:topLinePunct w:val="0"/>
        <w:autoSpaceDE/>
        <w:autoSpaceDN/>
        <w:bidi w:val="0"/>
        <w:adjustRightInd/>
        <w:snapToGrid/>
        <w:ind w:firstLine="630" w:firstLineChars="300"/>
        <w:textAlignment w:val="auto"/>
        <w:rPr>
          <w:rFonts w:hint="eastAsia"/>
          <w:color w:val="auto"/>
          <w:lang w:val="en-US" w:eastAsia="zh-CN"/>
        </w:rPr>
      </w:pPr>
      <w:r>
        <w:rPr>
          <w:rFonts w:hint="eastAsia"/>
          <w:color w:val="auto"/>
          <w:lang w:val="en-US" w:eastAsia="zh-CN"/>
        </w:rPr>
        <w:t>检查病人检验信息是否正确。</w:t>
      </w:r>
    </w:p>
    <w:p>
      <w:pPr>
        <w:keepNext w:val="0"/>
        <w:keepLines w:val="0"/>
        <w:pageBreakBefore w:val="0"/>
        <w:widowControl w:val="0"/>
        <w:kinsoku/>
        <w:wordWrap/>
        <w:overflowPunct/>
        <w:topLinePunct w:val="0"/>
        <w:autoSpaceDE/>
        <w:autoSpaceDN/>
        <w:bidi w:val="0"/>
        <w:adjustRightInd/>
        <w:snapToGrid/>
        <w:ind w:firstLine="630" w:firstLineChars="300"/>
        <w:textAlignment w:val="auto"/>
        <w:rPr>
          <w:rFonts w:hint="eastAsia"/>
          <w:color w:val="auto"/>
          <w:lang w:val="en-US" w:eastAsia="zh-CN"/>
        </w:rPr>
      </w:pPr>
      <w:r>
        <w:rPr>
          <w:rFonts w:hint="eastAsia"/>
          <w:color w:val="auto"/>
          <w:lang w:val="en-US" w:eastAsia="zh-CN"/>
        </w:rPr>
        <w:t>检验系统中的科室设置是否和本院HIS系统中一致（如不一致，HIS系统进行了调整，那么</w:t>
      </w:r>
      <w:r>
        <w:rPr>
          <w:rFonts w:hint="eastAsia"/>
          <w:color w:val="auto"/>
          <w:lang w:eastAsia="zh-CN"/>
        </w:rPr>
        <w:t>传染病智能管理监测信息系统</w:t>
      </w:r>
      <w:r>
        <w:rPr>
          <w:rFonts w:hint="eastAsia"/>
          <w:color w:val="auto"/>
          <w:lang w:val="en-US" w:eastAsia="zh-CN"/>
        </w:rPr>
        <w:t>上也要做相应的调整）；</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lang w:val="en-US" w:eastAsia="zh-CN"/>
        </w:rPr>
      </w:pPr>
      <w:r>
        <w:rPr>
          <w:rFonts w:hint="eastAsia"/>
          <w:color w:val="auto"/>
          <w:lang w:val="en-US" w:eastAsia="zh-CN"/>
        </w:rPr>
        <w:t>（3）统计检查</w:t>
      </w:r>
    </w:p>
    <w:p>
      <w:pPr>
        <w:keepNext w:val="0"/>
        <w:keepLines w:val="0"/>
        <w:pageBreakBefore w:val="0"/>
        <w:widowControl w:val="0"/>
        <w:kinsoku/>
        <w:wordWrap/>
        <w:overflowPunct/>
        <w:topLinePunct w:val="0"/>
        <w:autoSpaceDE/>
        <w:autoSpaceDN/>
        <w:bidi w:val="0"/>
        <w:adjustRightInd/>
        <w:snapToGrid/>
        <w:ind w:firstLine="630" w:firstLineChars="300"/>
        <w:textAlignment w:val="auto"/>
        <w:rPr>
          <w:rFonts w:hint="eastAsia"/>
          <w:color w:val="auto"/>
          <w:lang w:val="en-US" w:eastAsia="zh-CN"/>
        </w:rPr>
      </w:pPr>
      <w:r>
        <w:rPr>
          <w:rFonts w:hint="eastAsia"/>
          <w:color w:val="auto"/>
          <w:lang w:val="en-US" w:eastAsia="zh-CN"/>
        </w:rPr>
        <w:t>检查传染病按病种统计数据是否正确；</w:t>
      </w:r>
    </w:p>
    <w:p>
      <w:pPr>
        <w:keepNext w:val="0"/>
        <w:keepLines w:val="0"/>
        <w:pageBreakBefore w:val="0"/>
        <w:widowControl w:val="0"/>
        <w:kinsoku/>
        <w:wordWrap/>
        <w:overflowPunct/>
        <w:topLinePunct w:val="0"/>
        <w:autoSpaceDE/>
        <w:autoSpaceDN/>
        <w:bidi w:val="0"/>
        <w:adjustRightInd/>
        <w:snapToGrid/>
        <w:ind w:firstLine="630" w:firstLineChars="300"/>
        <w:textAlignment w:val="auto"/>
        <w:rPr>
          <w:rFonts w:hint="eastAsia"/>
          <w:color w:val="auto"/>
          <w:lang w:val="en-US" w:eastAsia="zh-CN"/>
        </w:rPr>
      </w:pPr>
      <w:r>
        <w:rPr>
          <w:rFonts w:hint="eastAsia"/>
          <w:color w:val="auto"/>
          <w:lang w:val="en-US" w:eastAsia="zh-CN"/>
        </w:rPr>
        <w:t>检查传染病按发病数统计是否正确；</w:t>
      </w:r>
    </w:p>
    <w:p>
      <w:pPr>
        <w:keepNext w:val="0"/>
        <w:keepLines w:val="0"/>
        <w:pageBreakBefore w:val="0"/>
        <w:widowControl w:val="0"/>
        <w:kinsoku/>
        <w:wordWrap/>
        <w:overflowPunct/>
        <w:topLinePunct w:val="0"/>
        <w:autoSpaceDE/>
        <w:autoSpaceDN/>
        <w:bidi w:val="0"/>
        <w:adjustRightInd/>
        <w:snapToGrid/>
        <w:ind w:firstLine="630" w:firstLineChars="300"/>
        <w:textAlignment w:val="auto"/>
        <w:rPr>
          <w:rFonts w:hint="eastAsia"/>
          <w:color w:val="auto"/>
          <w:lang w:val="en-US" w:eastAsia="zh-CN"/>
        </w:rPr>
      </w:pPr>
      <w:r>
        <w:rPr>
          <w:rFonts w:hint="eastAsia"/>
          <w:color w:val="auto"/>
          <w:lang w:val="en-US" w:eastAsia="zh-CN"/>
        </w:rPr>
        <w:t>检查传染病按月份统计是否正确；</w:t>
      </w:r>
    </w:p>
    <w:p>
      <w:pPr>
        <w:keepNext w:val="0"/>
        <w:keepLines w:val="0"/>
        <w:pageBreakBefore w:val="0"/>
        <w:widowControl w:val="0"/>
        <w:kinsoku/>
        <w:wordWrap/>
        <w:overflowPunct/>
        <w:topLinePunct w:val="0"/>
        <w:autoSpaceDE/>
        <w:autoSpaceDN/>
        <w:bidi w:val="0"/>
        <w:adjustRightInd/>
        <w:snapToGrid/>
        <w:ind w:firstLine="630" w:firstLineChars="300"/>
        <w:textAlignment w:val="auto"/>
        <w:rPr>
          <w:rFonts w:hint="eastAsia"/>
          <w:color w:val="auto"/>
          <w:lang w:val="en-US" w:eastAsia="zh-CN"/>
        </w:rPr>
      </w:pPr>
      <w:r>
        <w:rPr>
          <w:rFonts w:hint="eastAsia"/>
          <w:color w:val="auto"/>
          <w:lang w:val="en-US" w:eastAsia="zh-CN"/>
        </w:rPr>
        <w:t>检查传染病按月份统计是否正确；</w:t>
      </w:r>
    </w:p>
    <w:p>
      <w:pPr>
        <w:keepNext w:val="0"/>
        <w:keepLines w:val="0"/>
        <w:pageBreakBefore w:val="0"/>
        <w:widowControl w:val="0"/>
        <w:kinsoku/>
        <w:wordWrap/>
        <w:overflowPunct/>
        <w:topLinePunct w:val="0"/>
        <w:autoSpaceDE/>
        <w:autoSpaceDN/>
        <w:bidi w:val="0"/>
        <w:adjustRightInd/>
        <w:snapToGrid/>
        <w:ind w:firstLine="630" w:firstLineChars="300"/>
        <w:textAlignment w:val="auto"/>
        <w:rPr>
          <w:rFonts w:hint="eastAsia"/>
          <w:color w:val="auto"/>
          <w:lang w:val="en-US" w:eastAsia="zh-CN"/>
        </w:rPr>
      </w:pPr>
      <w:r>
        <w:rPr>
          <w:rFonts w:hint="eastAsia"/>
          <w:color w:val="auto"/>
          <w:lang w:val="en-US" w:eastAsia="zh-CN"/>
        </w:rPr>
        <w:t>检查传染病按职业统计是否正确；</w:t>
      </w:r>
    </w:p>
    <w:p>
      <w:pPr>
        <w:keepNext w:val="0"/>
        <w:keepLines w:val="0"/>
        <w:pageBreakBefore w:val="0"/>
        <w:widowControl w:val="0"/>
        <w:kinsoku/>
        <w:wordWrap/>
        <w:overflowPunct/>
        <w:topLinePunct w:val="0"/>
        <w:autoSpaceDE/>
        <w:autoSpaceDN/>
        <w:bidi w:val="0"/>
        <w:adjustRightInd/>
        <w:snapToGrid/>
        <w:ind w:firstLine="630" w:firstLineChars="300"/>
        <w:textAlignment w:val="auto"/>
        <w:rPr>
          <w:rFonts w:hint="eastAsia"/>
          <w:color w:val="auto"/>
          <w:lang w:val="en-US" w:eastAsia="zh-CN"/>
        </w:rPr>
      </w:pPr>
      <w:r>
        <w:rPr>
          <w:rFonts w:hint="eastAsia"/>
          <w:color w:val="auto"/>
          <w:lang w:val="en-US" w:eastAsia="zh-CN"/>
        </w:rPr>
        <w:t>核对传染病自查统计数据；</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lang w:val="en-US" w:eastAsia="zh-CN"/>
        </w:rPr>
      </w:pPr>
      <w:r>
        <w:rPr>
          <w:rFonts w:hint="eastAsia"/>
          <w:color w:val="auto"/>
          <w:lang w:val="en-US" w:eastAsia="zh-CN"/>
        </w:rPr>
        <w:t>（4）沟通交流</w:t>
      </w:r>
    </w:p>
    <w:p>
      <w:pPr>
        <w:keepNext w:val="0"/>
        <w:keepLines w:val="0"/>
        <w:pageBreakBefore w:val="0"/>
        <w:widowControl w:val="0"/>
        <w:kinsoku/>
        <w:wordWrap/>
        <w:overflowPunct/>
        <w:topLinePunct w:val="0"/>
        <w:autoSpaceDE/>
        <w:autoSpaceDN/>
        <w:bidi w:val="0"/>
        <w:adjustRightInd/>
        <w:snapToGrid/>
        <w:ind w:firstLine="630" w:firstLineChars="300"/>
        <w:textAlignment w:val="auto"/>
        <w:rPr>
          <w:rFonts w:hint="eastAsia"/>
          <w:b/>
          <w:bCs/>
          <w:color w:val="auto"/>
          <w:lang w:val="en-US" w:eastAsia="zh-CN"/>
        </w:rPr>
      </w:pPr>
      <w:r>
        <w:rPr>
          <w:rFonts w:hint="eastAsia" w:ascii="Times New Roman" w:hAnsi="Times New Roman" w:eastAsia="宋体" w:cs="Times New Roman"/>
          <w:color w:val="auto"/>
          <w:lang w:val="en-US" w:eastAsia="zh-CN"/>
        </w:rPr>
        <w:t>指导预防保健科专职老师掌握</w:t>
      </w:r>
      <w:r>
        <w:rPr>
          <w:rFonts w:hint="eastAsia"/>
          <w:color w:val="auto"/>
          <w:lang w:eastAsia="zh-CN"/>
        </w:rPr>
        <w:t>传染病智能管理监测信息系统</w:t>
      </w:r>
      <w:r>
        <w:rPr>
          <w:rFonts w:hint="eastAsia" w:ascii="Times New Roman" w:hAnsi="Times New Roman" w:eastAsia="宋体" w:cs="Times New Roman"/>
          <w:color w:val="auto"/>
          <w:lang w:val="en-US" w:eastAsia="zh-CN"/>
        </w:rPr>
        <w:t>的不熟悉的功能，和预防保健科沟通交流软件需要改进的项目，分享其他医院先进的管理经验。</w:t>
      </w:r>
    </w:p>
    <w:p>
      <w:pPr>
        <w:rPr>
          <w:rFonts w:hint="eastAsia"/>
          <w:b/>
          <w:bCs/>
          <w:color w:val="auto"/>
        </w:rPr>
      </w:pPr>
      <w:r>
        <w:rPr>
          <w:rFonts w:hint="eastAsia"/>
          <w:b/>
          <w:bCs/>
          <w:color w:val="auto"/>
          <w:lang w:eastAsia="zh-CN"/>
        </w:rPr>
        <w:t>三</w:t>
      </w:r>
      <w:r>
        <w:rPr>
          <w:rFonts w:hint="eastAsia"/>
          <w:b/>
          <w:bCs/>
          <w:color w:val="auto"/>
        </w:rPr>
        <w:t>、服务质量要求</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rPr>
      </w:pPr>
      <w:r>
        <w:rPr>
          <w:rFonts w:hint="eastAsia"/>
          <w:color w:val="auto"/>
        </w:rPr>
        <w:t>1.</w:t>
      </w:r>
      <w:r>
        <w:rPr>
          <w:rFonts w:hint="eastAsia"/>
          <w:color w:val="auto"/>
          <w:lang w:eastAsia="zh-CN"/>
        </w:rPr>
        <w:t>成交供应商</w:t>
      </w:r>
      <w:r>
        <w:rPr>
          <w:rFonts w:hint="eastAsia"/>
          <w:color w:val="auto"/>
        </w:rPr>
        <w:t>对</w:t>
      </w:r>
      <w:r>
        <w:rPr>
          <w:rFonts w:hint="eastAsia"/>
          <w:color w:val="auto"/>
          <w:lang w:eastAsia="zh-CN"/>
        </w:rPr>
        <w:t>传染病智能管理监测信息系统</w:t>
      </w:r>
      <w:r>
        <w:rPr>
          <w:rFonts w:hint="eastAsia"/>
          <w:color w:val="auto"/>
        </w:rPr>
        <w:t>进行常规维护、升级(除国家重大政策性变化需升级外)，并对在日常使用过程中软件系统本身出现的</w:t>
      </w:r>
      <w:r>
        <w:rPr>
          <w:rFonts w:hint="eastAsia"/>
          <w:color w:val="auto"/>
          <w:u w:val="single"/>
        </w:rPr>
        <w:t xml:space="preserve"> BUG</w:t>
      </w:r>
      <w:r>
        <w:rPr>
          <w:rFonts w:hint="eastAsia"/>
          <w:color w:val="auto"/>
        </w:rPr>
        <w:t xml:space="preserve"> 进行及时修复；并提供标准化维护服务包含以下：</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rPr>
      </w:pPr>
      <w:r>
        <w:rPr>
          <w:rFonts w:hint="eastAsia"/>
          <w:color w:val="auto"/>
        </w:rPr>
        <w:t>（1）热线支持：</w:t>
      </w:r>
      <w:r>
        <w:rPr>
          <w:rFonts w:hint="eastAsia"/>
          <w:color w:val="auto"/>
          <w:lang w:eastAsia="zh-CN"/>
        </w:rPr>
        <w:t>成交供应商</w:t>
      </w:r>
      <w:r>
        <w:rPr>
          <w:rFonts w:hint="eastAsia"/>
          <w:color w:val="auto"/>
        </w:rPr>
        <w:t>需设置</w:t>
      </w:r>
      <w:r>
        <w:rPr>
          <w:rFonts w:hint="eastAsia"/>
          <w:color w:val="auto"/>
          <w:u w:val="single"/>
        </w:rPr>
        <w:t>24</w:t>
      </w:r>
      <w:r>
        <w:rPr>
          <w:rFonts w:hint="eastAsia"/>
          <w:color w:val="auto"/>
        </w:rPr>
        <w:t>小时运维电话，可通过电话方式向用户进行技术问题解答。工作时间内响应时间不超过</w:t>
      </w:r>
      <w:r>
        <w:rPr>
          <w:rFonts w:hint="eastAsia"/>
          <w:color w:val="auto"/>
          <w:u w:val="single"/>
          <w:lang w:val="en-US" w:eastAsia="zh-CN"/>
        </w:rPr>
        <w:t>1</w:t>
      </w:r>
      <w:r>
        <w:rPr>
          <w:rFonts w:hint="eastAsia"/>
          <w:color w:val="auto"/>
        </w:rPr>
        <w:t>小时，非工作时间响应时间不超过</w:t>
      </w:r>
      <w:r>
        <w:rPr>
          <w:rFonts w:hint="eastAsia"/>
          <w:color w:val="auto"/>
          <w:u w:val="single"/>
          <w:lang w:val="en-US" w:eastAsia="zh-CN"/>
        </w:rPr>
        <w:t>2</w:t>
      </w:r>
      <w:r>
        <w:rPr>
          <w:rFonts w:hint="eastAsia"/>
          <w:color w:val="auto"/>
        </w:rPr>
        <w:t>小时。</w:t>
      </w:r>
      <w:r>
        <w:rPr>
          <w:rFonts w:hint="eastAsia" w:ascii="Times New Roman" w:hAnsi="Times New Roman" w:eastAsia="宋体" w:cs="Times New Roman"/>
          <w:color w:val="auto"/>
          <w:lang w:val="en-US" w:eastAsia="zh-CN"/>
        </w:rPr>
        <w:t>提供具体的服务联系人和联系电话。</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rPr>
      </w:pPr>
      <w:r>
        <w:rPr>
          <w:rFonts w:hint="eastAsia"/>
          <w:color w:val="auto"/>
        </w:rPr>
        <w:t>（2）远程维护：</w:t>
      </w:r>
      <w:r>
        <w:rPr>
          <w:rFonts w:hint="eastAsia"/>
          <w:color w:val="auto"/>
          <w:lang w:eastAsia="zh-CN"/>
        </w:rPr>
        <w:t>成交供应商</w:t>
      </w:r>
      <w:r>
        <w:rPr>
          <w:rFonts w:hint="eastAsia"/>
          <w:color w:val="auto"/>
        </w:rPr>
        <w:t>可通过在线远程方式，对用户提供运维指导服务。</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rPr>
      </w:pPr>
      <w:r>
        <w:rPr>
          <w:rFonts w:hint="eastAsia"/>
          <w:color w:val="auto"/>
        </w:rPr>
        <w:t>（3）现场维护：</w:t>
      </w:r>
      <w:r>
        <w:rPr>
          <w:rFonts w:hint="eastAsia"/>
          <w:color w:val="auto"/>
          <w:lang w:eastAsia="zh-CN"/>
        </w:rPr>
        <w:t>成交供应商</w:t>
      </w:r>
      <w:r>
        <w:rPr>
          <w:rFonts w:hint="eastAsia"/>
          <w:color w:val="auto"/>
        </w:rPr>
        <w:t>需配备相应技术人员到用户现场解决问题</w:t>
      </w:r>
      <w:r>
        <w:rPr>
          <w:rFonts w:hint="eastAsia"/>
          <w:color w:val="auto"/>
          <w:lang w:eastAsia="zh-CN"/>
        </w:rPr>
        <w:t>，供应商应在</w:t>
      </w:r>
      <w:r>
        <w:rPr>
          <w:rFonts w:hint="eastAsia"/>
          <w:color w:val="auto"/>
          <w:u w:val="single"/>
          <w:lang w:eastAsia="zh-CN"/>
        </w:rPr>
        <w:t>2</w:t>
      </w:r>
      <w:r>
        <w:rPr>
          <w:rFonts w:hint="eastAsia"/>
          <w:color w:val="auto"/>
          <w:lang w:eastAsia="zh-CN"/>
        </w:rPr>
        <w:t>个工作日内到场解决问题</w:t>
      </w:r>
      <w:r>
        <w:rPr>
          <w:rFonts w:hint="eastAsia"/>
          <w:color w:val="auto"/>
        </w:rPr>
        <w:t>（备注：本条款只针对远程无法解决的情况下）。</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rPr>
      </w:pPr>
      <w:r>
        <w:rPr>
          <w:rFonts w:hint="eastAsia"/>
          <w:color w:val="auto"/>
        </w:rPr>
        <w:t>2.</w:t>
      </w:r>
      <w:r>
        <w:rPr>
          <w:rFonts w:hint="eastAsia" w:ascii="Times New Roman" w:hAnsi="Times New Roman" w:eastAsia="宋体" w:cs="Times New Roman"/>
          <w:color w:val="auto"/>
          <w:lang w:eastAsia="zh-CN"/>
        </w:rPr>
        <w:t>对医院在传染病智能管理监测信息系统使用过程中提出的合理化需求进行优化和完善，包含但不限于系统功能完善、优化以及根据医院业务发展及国家政策等需求对传染病智能管理监测信息系统现有软件模块功能的修订和完善等(若需要新增软件模块才能满足要求或解决问题的由医院另行采购)。</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rPr>
      </w:pPr>
      <w:r>
        <w:rPr>
          <w:rFonts w:hint="eastAsia"/>
          <w:color w:val="auto"/>
        </w:rPr>
        <w:t>3.</w:t>
      </w:r>
      <w:r>
        <w:rPr>
          <w:rFonts w:hint="eastAsia" w:ascii="Times New Roman" w:hAnsi="Times New Roman" w:eastAsia="宋体" w:cs="Times New Roman"/>
          <w:color w:val="auto"/>
          <w:lang w:eastAsia="zh-CN"/>
        </w:rPr>
        <w:t>承担前述软件产品清单中的软件系统间现有的各种接口，以及前述软件产品清单中的软件系统与第三方公司软件系统现有的各种接口的升级、改造、维护工作(不含第三方公司接口，以及因新增第三方公司软件系统需要由第三方公司提供的接口开发技术服务)。</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lang w:eastAsia="zh-CN"/>
        </w:rPr>
      </w:pPr>
      <w:r>
        <w:rPr>
          <w:rFonts w:hint="eastAsia"/>
          <w:color w:val="auto"/>
          <w:lang w:eastAsia="zh-CN"/>
        </w:rPr>
        <w:t>4.对因政策性原因导致现有软件系统功能不能满足要求的软件系统进行相应系统功能的修改、完善。</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lang w:eastAsia="zh-CN"/>
        </w:rPr>
      </w:pPr>
      <w:r>
        <w:rPr>
          <w:rFonts w:hint="eastAsia"/>
          <w:color w:val="auto"/>
          <w:lang w:eastAsia="zh-CN"/>
        </w:rPr>
        <w:t>5.因系统运行的基础硬件设备故障或维修维保更换配件时，需要对前述软件产品清单中的软件系统进行重新部署、修改配置或系统优化等技术服务。</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lang w:eastAsia="zh-CN"/>
        </w:rPr>
      </w:pPr>
      <w:r>
        <w:rPr>
          <w:rFonts w:hint="eastAsia"/>
          <w:color w:val="auto"/>
          <w:lang w:eastAsia="zh-CN"/>
        </w:rPr>
        <w:t>6.完善、修订、新增符合医院管理需求的各种报表，完善系统统计功能等。</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lang w:eastAsia="zh-CN"/>
        </w:rPr>
      </w:pPr>
      <w:r>
        <w:rPr>
          <w:rFonts w:hint="eastAsia"/>
          <w:color w:val="auto"/>
          <w:lang w:eastAsia="zh-CN"/>
        </w:rPr>
        <w:t>7.优化</w:t>
      </w:r>
      <w:r>
        <w:rPr>
          <w:rFonts w:hint="eastAsia" w:ascii="Times New Roman" w:hAnsi="Times New Roman" w:eastAsia="宋体" w:cs="Times New Roman"/>
          <w:color w:val="auto"/>
          <w:lang w:eastAsia="zh-CN"/>
        </w:rPr>
        <w:t>传染病智能管理监测信息系统</w:t>
      </w:r>
      <w:r>
        <w:rPr>
          <w:rFonts w:hint="eastAsia"/>
          <w:color w:val="auto"/>
          <w:lang w:eastAsia="zh-CN"/>
        </w:rPr>
        <w:t>，提高系统运行效率。</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lang w:eastAsia="zh-CN"/>
        </w:rPr>
      </w:pPr>
      <w:r>
        <w:rPr>
          <w:rFonts w:hint="eastAsia"/>
          <w:color w:val="auto"/>
          <w:lang w:eastAsia="zh-CN"/>
        </w:rPr>
        <w:t>8.成交供应商需每个年度对</w:t>
      </w:r>
      <w:r>
        <w:rPr>
          <w:rFonts w:hint="eastAsia" w:ascii="Times New Roman" w:hAnsi="Times New Roman" w:eastAsia="宋体" w:cs="Times New Roman"/>
          <w:color w:val="auto"/>
          <w:lang w:eastAsia="zh-CN"/>
        </w:rPr>
        <w:t>传染病智能管理监测信息系统</w:t>
      </w:r>
      <w:r>
        <w:rPr>
          <w:rFonts w:hint="eastAsia"/>
          <w:color w:val="auto"/>
          <w:lang w:eastAsia="zh-CN"/>
        </w:rPr>
        <w:t>运行情况进行巡检，并形成巡检报告。</w:t>
      </w:r>
    </w:p>
    <w:p>
      <w:pPr>
        <w:rPr>
          <w:rFonts w:hint="eastAsia"/>
          <w:color w:val="auto"/>
          <w:lang w:eastAsia="zh-CN"/>
        </w:rPr>
      </w:pPr>
      <w:r>
        <w:rPr>
          <w:rFonts w:hint="eastAsia"/>
          <w:b/>
          <w:bCs/>
          <w:color w:val="auto"/>
          <w:lang w:eastAsia="zh-CN"/>
        </w:rPr>
        <w:t>三、付款方式</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宋体" w:cs="Times New Roman"/>
          <w:color w:val="auto"/>
          <w:lang w:eastAsia="zh-CN"/>
        </w:rPr>
      </w:pPr>
      <w:r>
        <w:rPr>
          <w:rFonts w:hint="eastAsia" w:cs="Times New Roman"/>
          <w:color w:val="auto"/>
          <w:lang w:val="en-US" w:eastAsia="zh-CN"/>
        </w:rPr>
        <w:t>1.</w:t>
      </w:r>
      <w:r>
        <w:rPr>
          <w:rFonts w:hint="eastAsia" w:ascii="Times New Roman" w:hAnsi="Times New Roman" w:eastAsia="宋体" w:cs="Times New Roman"/>
          <w:color w:val="auto"/>
          <w:lang w:eastAsia="zh-CN"/>
        </w:rPr>
        <w:t>服务</w:t>
      </w:r>
      <w:r>
        <w:rPr>
          <w:rFonts w:hint="eastAsia" w:cs="Times New Roman"/>
          <w:color w:val="auto"/>
          <w:lang w:eastAsia="zh-CN"/>
        </w:rPr>
        <w:t>每</w:t>
      </w:r>
      <w:r>
        <w:rPr>
          <w:rFonts w:hint="eastAsia" w:ascii="Times New Roman" w:hAnsi="Times New Roman" w:eastAsia="宋体" w:cs="Times New Roman"/>
          <w:color w:val="auto"/>
          <w:lang w:eastAsia="zh-CN"/>
        </w:rPr>
        <w:t>满</w:t>
      </w:r>
      <w:r>
        <w:rPr>
          <w:rFonts w:hint="eastAsia" w:ascii="Times New Roman" w:hAnsi="Times New Roman" w:eastAsia="宋体" w:cs="Times New Roman"/>
          <w:color w:val="auto"/>
          <w:u w:val="single"/>
          <w:lang w:eastAsia="zh-CN"/>
        </w:rPr>
        <w:t>一</w:t>
      </w:r>
      <w:r>
        <w:rPr>
          <w:rFonts w:hint="eastAsia" w:ascii="Times New Roman" w:hAnsi="Times New Roman" w:eastAsia="宋体" w:cs="Times New Roman"/>
          <w:color w:val="auto"/>
          <w:lang w:eastAsia="zh-CN"/>
        </w:rPr>
        <w:t>年后，成交供应商需提供年度</w:t>
      </w:r>
      <w:r>
        <w:rPr>
          <w:rFonts w:hint="eastAsia" w:cs="Times New Roman"/>
          <w:color w:val="auto"/>
          <w:lang w:eastAsia="zh-CN"/>
        </w:rPr>
        <w:t>服务</w:t>
      </w:r>
      <w:r>
        <w:rPr>
          <w:rFonts w:hint="eastAsia" w:ascii="Times New Roman" w:hAnsi="Times New Roman" w:eastAsia="宋体" w:cs="Times New Roman"/>
          <w:color w:val="auto"/>
          <w:lang w:eastAsia="zh-CN"/>
        </w:rPr>
        <w:t>巡检报告和正式发票</w:t>
      </w:r>
      <w:r>
        <w:rPr>
          <w:rFonts w:hint="eastAsia" w:cs="Times New Roman"/>
          <w:color w:val="auto"/>
          <w:lang w:eastAsia="zh-CN"/>
        </w:rPr>
        <w:t>，经使用科室和经办科室审核确认后</w:t>
      </w:r>
      <w:r>
        <w:rPr>
          <w:rFonts w:hint="eastAsia" w:ascii="Times New Roman" w:hAnsi="Times New Roman" w:eastAsia="宋体" w:cs="Times New Roman"/>
          <w:color w:val="auto"/>
          <w:lang w:eastAsia="zh-CN"/>
        </w:rPr>
        <w:t>采购人向成交供应商支付合同金额</w:t>
      </w:r>
      <w:r>
        <w:rPr>
          <w:rFonts w:hint="eastAsia" w:cs="Times New Roman"/>
          <w:color w:val="auto"/>
          <w:u w:val="single"/>
          <w:lang w:val="en-US" w:eastAsia="zh-CN"/>
        </w:rPr>
        <w:t>100</w:t>
      </w:r>
      <w:r>
        <w:rPr>
          <w:rFonts w:hint="eastAsia" w:ascii="Times New Roman" w:hAnsi="Times New Roman" w:eastAsia="宋体" w:cs="Times New Roman"/>
          <w:color w:val="auto"/>
          <w:u w:val="single"/>
          <w:lang w:eastAsia="zh-CN"/>
        </w:rPr>
        <w:t>%</w:t>
      </w:r>
      <w:r>
        <w:rPr>
          <w:rFonts w:hint="eastAsia" w:ascii="Times New Roman" w:hAnsi="Times New Roman" w:eastAsia="宋体" w:cs="Times New Roman"/>
          <w:color w:val="auto"/>
          <w:lang w:eastAsia="zh-CN"/>
        </w:rPr>
        <w:t xml:space="preserve"> 款项。</w:t>
      </w:r>
      <w:r>
        <w:rPr>
          <w:rFonts w:hint="eastAsia" w:cs="Times New Roman"/>
          <w:color w:val="auto"/>
          <w:lang w:eastAsia="zh-CN"/>
        </w:rPr>
        <w:t>分三次结清合同款项。</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lang w:eastAsia="zh-CN"/>
        </w:rPr>
      </w:pPr>
      <w:r>
        <w:rPr>
          <w:rFonts w:hint="eastAsia" w:cs="Times New Roman"/>
          <w:color w:val="auto"/>
          <w:lang w:val="en-US" w:eastAsia="zh-CN"/>
        </w:rPr>
        <w:t>2.</w:t>
      </w:r>
      <w:r>
        <w:rPr>
          <w:rFonts w:hint="eastAsia" w:ascii="Times New Roman" w:hAnsi="Times New Roman" w:eastAsia="宋体" w:cs="Times New Roman"/>
          <w:color w:val="auto"/>
          <w:lang w:eastAsia="zh-CN"/>
        </w:rPr>
        <w:t>成交供应商须向采购人提供与结算金额相符的增值税普通发票</w:t>
      </w:r>
      <w:r>
        <w:rPr>
          <w:rFonts w:hint="eastAsia"/>
          <w:color w:val="auto"/>
          <w:lang w:eastAsia="zh-CN"/>
        </w:rPr>
        <w:t>。</w:t>
      </w:r>
    </w:p>
    <w:p>
      <w:pPr>
        <w:rPr>
          <w:rFonts w:hint="eastAsia" w:ascii="Times New Roman" w:hAnsi="Times New Roman" w:eastAsia="宋体" w:cs="Times New Roman"/>
          <w:b/>
          <w:bCs/>
          <w:color w:val="auto"/>
          <w:lang w:eastAsia="zh-CN"/>
        </w:rPr>
      </w:pPr>
      <w:r>
        <w:rPr>
          <w:rFonts w:hint="eastAsia" w:ascii="Times New Roman" w:hAnsi="Times New Roman" w:eastAsia="宋体" w:cs="Times New Roman"/>
          <w:b/>
          <w:bCs/>
          <w:color w:val="auto"/>
          <w:lang w:eastAsia="zh-CN"/>
        </w:rPr>
        <w:t>四、违约责任</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宋体" w:cs="Times New Roman"/>
          <w:color w:val="auto"/>
        </w:rPr>
      </w:pPr>
      <w:r>
        <w:rPr>
          <w:rFonts w:hint="eastAsia" w:ascii="Times New Roman" w:hAnsi="Times New Roman" w:eastAsia="宋体" w:cs="Times New Roman"/>
          <w:color w:val="auto"/>
        </w:rPr>
        <w:t>1</w:t>
      </w:r>
      <w:r>
        <w:rPr>
          <w:rFonts w:hint="eastAsia" w:cs="Times New Roman"/>
          <w:color w:val="auto"/>
          <w:lang w:eastAsia="zh-CN"/>
        </w:rPr>
        <w:t>.</w:t>
      </w:r>
      <w:r>
        <w:rPr>
          <w:rFonts w:hint="eastAsia" w:ascii="Times New Roman" w:hAnsi="Times New Roman" w:eastAsia="宋体" w:cs="Times New Roman"/>
          <w:color w:val="auto"/>
          <w:lang w:val="en-US" w:eastAsia="zh-CN"/>
        </w:rPr>
        <w:t>成交供应商</w:t>
      </w:r>
      <w:r>
        <w:rPr>
          <w:rFonts w:hint="eastAsia" w:ascii="Times New Roman" w:hAnsi="Times New Roman" w:eastAsia="宋体" w:cs="Times New Roman"/>
          <w:color w:val="auto"/>
        </w:rPr>
        <w:t>必须遵守采购合同并执行合同中的各项规定，保证采购合同的正常履行。</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宋体" w:cs="Times New Roman"/>
          <w:color w:val="auto"/>
        </w:rPr>
      </w:pPr>
      <w:r>
        <w:rPr>
          <w:rFonts w:hint="eastAsia" w:ascii="Times New Roman" w:hAnsi="Times New Roman" w:eastAsia="宋体" w:cs="Times New Roman"/>
          <w:color w:val="auto"/>
        </w:rPr>
        <w:t>2</w:t>
      </w:r>
      <w:r>
        <w:rPr>
          <w:rFonts w:hint="eastAsia" w:cs="Times New Roman"/>
          <w:color w:val="auto"/>
          <w:lang w:eastAsia="zh-CN"/>
        </w:rPr>
        <w:t>.</w:t>
      </w:r>
      <w:r>
        <w:rPr>
          <w:rFonts w:hint="eastAsia" w:ascii="Times New Roman" w:hAnsi="Times New Roman" w:eastAsia="宋体" w:cs="Times New Roman"/>
          <w:color w:val="auto"/>
        </w:rPr>
        <w:t>如因</w:t>
      </w:r>
      <w:r>
        <w:rPr>
          <w:rFonts w:hint="eastAsia" w:ascii="Times New Roman" w:hAnsi="Times New Roman" w:eastAsia="宋体" w:cs="Times New Roman"/>
          <w:color w:val="auto"/>
          <w:lang w:val="en-US" w:eastAsia="zh-CN"/>
        </w:rPr>
        <w:t>成交供应商</w:t>
      </w:r>
      <w:r>
        <w:rPr>
          <w:rFonts w:hint="eastAsia" w:ascii="Times New Roman" w:hAnsi="Times New Roman" w:eastAsia="宋体" w:cs="Times New Roman"/>
          <w:color w:val="auto"/>
        </w:rPr>
        <w:t>工作人员在履行职务过程中的疏忽、失职、过错等故意或者过失原因给采购人造成损失或侵害，包括但不限于采购人本身的财产损失、由此而导致的采购人对任何第三方的法律责任等，</w:t>
      </w:r>
      <w:r>
        <w:rPr>
          <w:rFonts w:hint="eastAsia" w:ascii="Times New Roman" w:hAnsi="Times New Roman" w:eastAsia="宋体" w:cs="Times New Roman"/>
          <w:color w:val="auto"/>
          <w:lang w:val="en-US" w:eastAsia="zh-CN"/>
        </w:rPr>
        <w:t>成交供应商</w:t>
      </w:r>
      <w:r>
        <w:rPr>
          <w:rFonts w:hint="eastAsia" w:ascii="Times New Roman" w:hAnsi="Times New Roman" w:eastAsia="宋体" w:cs="Times New Roman"/>
          <w:color w:val="auto"/>
        </w:rPr>
        <w:t>对此均应承担全部的赔偿责任。</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宋体" w:cs="Times New Roman"/>
          <w:color w:val="auto"/>
        </w:rPr>
      </w:pPr>
      <w:r>
        <w:rPr>
          <w:rFonts w:hint="eastAsia" w:ascii="Times New Roman" w:hAnsi="Times New Roman" w:eastAsia="宋体" w:cs="Times New Roman"/>
          <w:color w:val="auto"/>
        </w:rPr>
        <w:t>3</w:t>
      </w:r>
      <w:r>
        <w:rPr>
          <w:rFonts w:hint="eastAsia" w:cs="Times New Roman"/>
          <w:color w:val="auto"/>
          <w:lang w:eastAsia="zh-CN"/>
        </w:rPr>
        <w:t>.</w:t>
      </w:r>
      <w:r>
        <w:rPr>
          <w:rFonts w:hint="eastAsia" w:ascii="Times New Roman" w:hAnsi="Times New Roman" w:eastAsia="宋体" w:cs="Times New Roman"/>
          <w:color w:val="auto"/>
          <w:lang w:val="en-US" w:eastAsia="zh-CN"/>
        </w:rPr>
        <w:t>成交供应商</w:t>
      </w:r>
      <w:r>
        <w:rPr>
          <w:rFonts w:hint="eastAsia" w:ascii="Times New Roman" w:hAnsi="Times New Roman" w:eastAsia="宋体" w:cs="Times New Roman"/>
          <w:color w:val="auto"/>
        </w:rPr>
        <w:t>不能按时提供服务(成果)或逾期提供的而违约的，除应及时提供服务外，应向采购人偿付逾期提供部分服务总额的</w:t>
      </w:r>
      <w:r>
        <w:rPr>
          <w:rFonts w:hint="eastAsia" w:ascii="宋体" w:hAnsi="宋体"/>
          <w:color w:val="auto"/>
          <w:sz w:val="21"/>
          <w:szCs w:val="21"/>
          <w:u w:val="single"/>
          <w:lang w:eastAsia="zh-CN"/>
        </w:rPr>
        <w:t>百分之一</w:t>
      </w:r>
      <w:r>
        <w:rPr>
          <w:rFonts w:hint="eastAsia" w:ascii="宋体" w:hAnsi="宋体"/>
          <w:color w:val="auto"/>
          <w:sz w:val="21"/>
          <w:szCs w:val="21"/>
        </w:rPr>
        <w:t>/天</w:t>
      </w:r>
      <w:r>
        <w:rPr>
          <w:rFonts w:hint="eastAsia" w:ascii="Times New Roman" w:hAnsi="Times New Roman" w:eastAsia="宋体" w:cs="Times New Roman"/>
          <w:color w:val="auto"/>
        </w:rPr>
        <w:t>的违约金；逾期超过</w:t>
      </w:r>
      <w:r>
        <w:rPr>
          <w:rFonts w:hint="eastAsia" w:ascii="Times New Roman" w:hAnsi="Times New Roman" w:eastAsia="宋体" w:cs="Times New Roman"/>
          <w:color w:val="auto"/>
          <w:u w:val="single"/>
        </w:rPr>
        <w:t>15</w:t>
      </w:r>
      <w:r>
        <w:rPr>
          <w:rFonts w:hint="eastAsia" w:ascii="Times New Roman" w:hAnsi="Times New Roman" w:eastAsia="宋体" w:cs="Times New Roman"/>
          <w:color w:val="auto"/>
        </w:rPr>
        <w:t>天，采购人有权</w:t>
      </w:r>
      <w:r>
        <w:rPr>
          <w:rFonts w:hint="eastAsia" w:cs="Times New Roman"/>
          <w:color w:val="auto"/>
          <w:lang w:eastAsia="zh-CN"/>
        </w:rPr>
        <w:t>解除</w:t>
      </w:r>
      <w:r>
        <w:rPr>
          <w:rFonts w:hint="eastAsia" w:ascii="Times New Roman" w:hAnsi="Times New Roman" w:eastAsia="宋体" w:cs="Times New Roman"/>
          <w:color w:val="auto"/>
        </w:rPr>
        <w:t>合同，</w:t>
      </w:r>
      <w:r>
        <w:rPr>
          <w:rFonts w:hint="eastAsia" w:ascii="Times New Roman" w:hAnsi="Times New Roman" w:eastAsia="宋体" w:cs="Times New Roman"/>
          <w:color w:val="auto"/>
          <w:lang w:val="en-US" w:eastAsia="zh-CN"/>
        </w:rPr>
        <w:t>成交供应商</w:t>
      </w:r>
      <w:r>
        <w:rPr>
          <w:rFonts w:hint="eastAsia" w:ascii="Times New Roman" w:hAnsi="Times New Roman" w:eastAsia="宋体" w:cs="Times New Roman"/>
          <w:color w:val="auto"/>
        </w:rPr>
        <w:t>则应按合同总价的</w:t>
      </w:r>
      <w:r>
        <w:rPr>
          <w:rFonts w:hint="eastAsia" w:ascii="Times New Roman" w:hAnsi="Times New Roman" w:eastAsia="宋体" w:cs="Times New Roman"/>
          <w:color w:val="auto"/>
          <w:u w:val="single"/>
        </w:rPr>
        <w:t>百分之</w:t>
      </w:r>
      <w:r>
        <w:rPr>
          <w:rFonts w:hint="eastAsia" w:ascii="Times New Roman" w:hAnsi="Times New Roman" w:eastAsia="宋体" w:cs="Times New Roman"/>
          <w:color w:val="auto"/>
          <w:u w:val="single"/>
        </w:rPr>
        <w:t>十</w:t>
      </w:r>
      <w:r>
        <w:rPr>
          <w:rFonts w:hint="eastAsia" w:ascii="Times New Roman" w:hAnsi="Times New Roman" w:eastAsia="宋体" w:cs="Times New Roman"/>
          <w:color w:val="auto"/>
        </w:rPr>
        <w:t>的款额向采购人偿付违约金，并须全额退还采购人已经付给</w:t>
      </w:r>
      <w:r>
        <w:rPr>
          <w:rFonts w:hint="eastAsia" w:ascii="Times New Roman" w:hAnsi="Times New Roman" w:eastAsia="宋体" w:cs="Times New Roman"/>
          <w:color w:val="auto"/>
          <w:lang w:val="en-US" w:eastAsia="zh-CN"/>
        </w:rPr>
        <w:t>成交供应商</w:t>
      </w:r>
      <w:r>
        <w:rPr>
          <w:rFonts w:hint="eastAsia" w:ascii="Times New Roman" w:hAnsi="Times New Roman" w:eastAsia="宋体" w:cs="Times New Roman"/>
          <w:color w:val="auto"/>
        </w:rPr>
        <w:t>的服务费及其利息。</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宋体" w:cs="Times New Roman"/>
          <w:color w:val="auto"/>
        </w:rPr>
      </w:pPr>
      <w:r>
        <w:rPr>
          <w:rFonts w:hint="eastAsia" w:ascii="Times New Roman" w:hAnsi="Times New Roman" w:eastAsia="宋体" w:cs="Times New Roman"/>
          <w:color w:val="auto"/>
        </w:rPr>
        <w:t>4</w:t>
      </w:r>
      <w:r>
        <w:rPr>
          <w:rFonts w:hint="eastAsia" w:cs="Times New Roman"/>
          <w:color w:val="auto"/>
          <w:lang w:eastAsia="zh-CN"/>
        </w:rPr>
        <w:t>.</w:t>
      </w:r>
      <w:r>
        <w:rPr>
          <w:rFonts w:hint="eastAsia" w:ascii="Times New Roman" w:hAnsi="Times New Roman" w:eastAsia="宋体" w:cs="Times New Roman"/>
          <w:color w:val="auto"/>
          <w:lang w:val="en-US" w:eastAsia="zh-CN"/>
        </w:rPr>
        <w:t>成交供应商</w:t>
      </w:r>
      <w:r>
        <w:rPr>
          <w:rFonts w:hint="eastAsia" w:ascii="Times New Roman" w:hAnsi="Times New Roman" w:eastAsia="宋体" w:cs="Times New Roman"/>
          <w:color w:val="auto"/>
        </w:rPr>
        <w:t>在履约过程中，服务经采购人考核不合格的，采购人有权要求</w:t>
      </w:r>
      <w:r>
        <w:rPr>
          <w:rFonts w:hint="eastAsia" w:ascii="Times New Roman" w:hAnsi="Times New Roman" w:eastAsia="宋体" w:cs="Times New Roman"/>
          <w:color w:val="auto"/>
          <w:lang w:val="en-US" w:eastAsia="zh-CN"/>
        </w:rPr>
        <w:t>成交供应商</w:t>
      </w:r>
      <w:r>
        <w:rPr>
          <w:rFonts w:hint="eastAsia" w:ascii="Times New Roman" w:hAnsi="Times New Roman" w:eastAsia="宋体" w:cs="Times New Roman"/>
          <w:color w:val="auto"/>
        </w:rPr>
        <w:t>整改，</w:t>
      </w:r>
      <w:r>
        <w:rPr>
          <w:rFonts w:hint="eastAsia" w:ascii="Times New Roman" w:hAnsi="Times New Roman" w:eastAsia="宋体" w:cs="Times New Roman"/>
          <w:color w:val="auto"/>
          <w:lang w:val="en-US" w:eastAsia="zh-CN"/>
        </w:rPr>
        <w:t>成交供应商</w:t>
      </w:r>
      <w:r>
        <w:rPr>
          <w:rFonts w:hint="eastAsia" w:ascii="Times New Roman" w:hAnsi="Times New Roman" w:eastAsia="宋体" w:cs="Times New Roman"/>
          <w:color w:val="auto"/>
        </w:rPr>
        <w:t>三次整改仍不符合要求的，采购人有权终止合同。</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宋体" w:cs="Times New Roman"/>
          <w:color w:val="auto"/>
        </w:rPr>
      </w:pPr>
      <w:r>
        <w:rPr>
          <w:rFonts w:hint="eastAsia" w:ascii="Times New Roman" w:hAnsi="Times New Roman" w:eastAsia="宋体" w:cs="Times New Roman"/>
          <w:color w:val="auto"/>
        </w:rPr>
        <w:t>5</w:t>
      </w:r>
      <w:r>
        <w:rPr>
          <w:rFonts w:hint="eastAsia" w:cs="Times New Roman"/>
          <w:color w:val="auto"/>
          <w:lang w:eastAsia="zh-CN"/>
        </w:rPr>
        <w:t>.</w:t>
      </w:r>
      <w:r>
        <w:rPr>
          <w:rFonts w:hint="eastAsia" w:ascii="Times New Roman" w:hAnsi="Times New Roman" w:eastAsia="宋体" w:cs="Times New Roman"/>
          <w:color w:val="auto"/>
          <w:lang w:val="en-US" w:eastAsia="zh-CN"/>
        </w:rPr>
        <w:t>成交供应商</w:t>
      </w:r>
      <w:r>
        <w:rPr>
          <w:rFonts w:hint="eastAsia" w:ascii="Times New Roman" w:hAnsi="Times New Roman" w:eastAsia="宋体" w:cs="Times New Roman"/>
          <w:color w:val="auto"/>
        </w:rPr>
        <w:t>应当遵守采购人的相关项目需求及相关技术要求及实质性条款，实施完成采购合同应当完全满足相关项目需求及相关技术要求及实质性条款，若</w:t>
      </w:r>
      <w:r>
        <w:rPr>
          <w:rFonts w:hint="eastAsia" w:ascii="Times New Roman" w:hAnsi="Times New Roman" w:eastAsia="宋体" w:cs="Times New Roman"/>
          <w:color w:val="auto"/>
          <w:lang w:val="en-US" w:eastAsia="zh-CN"/>
        </w:rPr>
        <w:t>成交供应商</w:t>
      </w:r>
      <w:r>
        <w:rPr>
          <w:rFonts w:hint="eastAsia" w:ascii="Times New Roman" w:hAnsi="Times New Roman" w:eastAsia="宋体" w:cs="Times New Roman"/>
          <w:color w:val="auto"/>
        </w:rPr>
        <w:t>瑕疵履行采购合同，采购人有权向</w:t>
      </w:r>
      <w:r>
        <w:rPr>
          <w:rFonts w:hint="eastAsia" w:ascii="Times New Roman" w:hAnsi="Times New Roman" w:eastAsia="宋体" w:cs="Times New Roman"/>
          <w:color w:val="auto"/>
          <w:lang w:val="en-US" w:eastAsia="zh-CN"/>
        </w:rPr>
        <w:t>成交供应商</w:t>
      </w:r>
      <w:r>
        <w:rPr>
          <w:rFonts w:hint="eastAsia" w:ascii="Times New Roman" w:hAnsi="Times New Roman" w:eastAsia="宋体" w:cs="Times New Roman"/>
          <w:color w:val="auto"/>
        </w:rPr>
        <w:t>要求赔偿合同总价款</w:t>
      </w:r>
      <w:r>
        <w:rPr>
          <w:rFonts w:hint="eastAsia" w:cs="Times New Roman"/>
          <w:color w:val="auto"/>
          <w:u w:val="single"/>
          <w:lang w:eastAsia="zh-CN"/>
        </w:rPr>
        <w:t>百分之二十</w:t>
      </w:r>
      <w:r>
        <w:rPr>
          <w:rFonts w:hint="eastAsia" w:ascii="Times New Roman" w:hAnsi="Times New Roman" w:eastAsia="宋体" w:cs="Times New Roman"/>
          <w:color w:val="auto"/>
        </w:rPr>
        <w:t>的违约金，若造成相关损失的，采购人有权要求</w:t>
      </w:r>
      <w:r>
        <w:rPr>
          <w:rFonts w:hint="eastAsia" w:ascii="Times New Roman" w:hAnsi="Times New Roman" w:eastAsia="宋体" w:cs="Times New Roman"/>
          <w:color w:val="auto"/>
          <w:lang w:val="en-US" w:eastAsia="zh-CN"/>
        </w:rPr>
        <w:t>成交供应商</w:t>
      </w:r>
      <w:r>
        <w:rPr>
          <w:rFonts w:hint="eastAsia" w:ascii="Times New Roman" w:hAnsi="Times New Roman" w:eastAsia="宋体" w:cs="Times New Roman"/>
          <w:color w:val="auto"/>
        </w:rPr>
        <w:t>承担所有赔偿责任。</w:t>
      </w:r>
    </w:p>
    <w:p>
      <w:pPr>
        <w:numPr>
          <w:ilvl w:val="0"/>
          <w:numId w:val="0"/>
        </w:numPr>
        <w:rPr>
          <w:rFonts w:hint="eastAsia" w:ascii="Times New Roman" w:hAnsi="Times New Roman" w:eastAsia="宋体" w:cs="Times New Roman"/>
          <w:b/>
          <w:bCs/>
          <w:color w:val="auto"/>
          <w:lang w:eastAsia="zh-CN"/>
        </w:rPr>
      </w:pPr>
      <w:r>
        <w:rPr>
          <w:rFonts w:hint="eastAsia" w:cs="Times New Roman"/>
          <w:b/>
          <w:bCs/>
          <w:color w:val="auto"/>
          <w:lang w:eastAsia="zh-CN"/>
        </w:rPr>
        <w:t>五</w:t>
      </w:r>
      <w:r>
        <w:rPr>
          <w:rFonts w:hint="eastAsia" w:ascii="Times New Roman" w:hAnsi="Times New Roman" w:eastAsia="宋体" w:cs="Times New Roman"/>
          <w:b/>
          <w:bCs/>
          <w:color w:val="auto"/>
          <w:lang w:eastAsia="zh-CN"/>
        </w:rPr>
        <w:t>、保密</w:t>
      </w:r>
    </w:p>
    <w:p>
      <w:pPr>
        <w:ind w:firstLine="420" w:firstLineChars="200"/>
        <w:rPr>
          <w:rFonts w:hint="eastAsia" w:ascii="宋体" w:hAnsi="宋体" w:eastAsia="宋体" w:cs="宋体"/>
          <w:bCs/>
          <w:color w:val="auto"/>
          <w:kern w:val="0"/>
          <w:szCs w:val="21"/>
          <w:lang w:eastAsia="zh-CN"/>
        </w:rPr>
      </w:pPr>
      <w:r>
        <w:rPr>
          <w:rFonts w:hint="eastAsia" w:ascii="宋体" w:hAnsi="宋体" w:eastAsia="宋体" w:cs="宋体"/>
          <w:bCs/>
          <w:color w:val="auto"/>
          <w:kern w:val="0"/>
          <w:szCs w:val="21"/>
          <w:lang w:val="en-US" w:eastAsia="zh-CN"/>
        </w:rPr>
        <w:t>1</w:t>
      </w:r>
      <w:r>
        <w:rPr>
          <w:rFonts w:hint="eastAsia" w:ascii="宋体" w:hAnsi="宋体" w:cs="宋体"/>
          <w:bCs/>
          <w:color w:val="auto"/>
          <w:kern w:val="0"/>
          <w:szCs w:val="21"/>
          <w:lang w:val="en-US" w:eastAsia="zh-CN"/>
        </w:rPr>
        <w:t>.</w:t>
      </w:r>
      <w:r>
        <w:rPr>
          <w:rFonts w:hint="eastAsia" w:ascii="宋体" w:hAnsi="宋体" w:eastAsia="宋体" w:cs="宋体"/>
          <w:bCs/>
          <w:color w:val="auto"/>
          <w:kern w:val="0"/>
          <w:szCs w:val="21"/>
          <w:lang w:eastAsia="zh-CN"/>
        </w:rPr>
        <w:t>未经对方书面许可，任何一方不得向第三方提供或者披露因本合同的签订和履行而得知的与对方业务有关的资料和信息，法律另有规定或本合同另有约定的除外。成交供应商向其关联公司提供或披露与采购人业务有关的资料和信息的，不受此限。</w:t>
      </w:r>
    </w:p>
    <w:p>
      <w:pPr>
        <w:ind w:firstLine="420" w:firstLineChars="200"/>
        <w:rPr>
          <w:rFonts w:hint="eastAsia" w:ascii="宋体" w:hAnsi="宋体" w:eastAsia="宋体" w:cs="宋体"/>
          <w:bCs/>
          <w:color w:val="auto"/>
          <w:kern w:val="0"/>
          <w:szCs w:val="21"/>
          <w:lang w:eastAsia="zh-CN"/>
        </w:rPr>
      </w:pPr>
      <w:r>
        <w:rPr>
          <w:rFonts w:hint="eastAsia" w:ascii="宋体" w:hAnsi="宋体" w:eastAsia="宋体" w:cs="宋体"/>
          <w:bCs/>
          <w:color w:val="auto"/>
          <w:kern w:val="0"/>
          <w:szCs w:val="21"/>
          <w:lang w:val="en-US" w:eastAsia="zh-CN"/>
        </w:rPr>
        <w:t>2</w:t>
      </w:r>
      <w:r>
        <w:rPr>
          <w:rFonts w:hint="eastAsia" w:ascii="宋体" w:hAnsi="宋体" w:cs="宋体"/>
          <w:bCs/>
          <w:color w:val="auto"/>
          <w:kern w:val="0"/>
          <w:szCs w:val="21"/>
          <w:lang w:val="en-US" w:eastAsia="zh-CN"/>
        </w:rPr>
        <w:t>.</w:t>
      </w:r>
      <w:r>
        <w:rPr>
          <w:rFonts w:hint="eastAsia" w:ascii="宋体" w:hAnsi="宋体" w:eastAsia="宋体" w:cs="宋体"/>
          <w:bCs/>
          <w:color w:val="auto"/>
          <w:kern w:val="0"/>
          <w:szCs w:val="21"/>
          <w:lang w:eastAsia="zh-CN"/>
        </w:rPr>
        <w:t>本保密条款在本合同有效期内及本合同终止后</w:t>
      </w:r>
      <w:r>
        <w:rPr>
          <w:rFonts w:hint="eastAsia" w:ascii="宋体" w:hAnsi="宋体" w:eastAsia="宋体" w:cs="宋体"/>
          <w:bCs/>
          <w:color w:val="auto"/>
          <w:kern w:val="0"/>
          <w:szCs w:val="21"/>
          <w:u w:val="single"/>
          <w:lang w:eastAsia="zh-CN"/>
        </w:rPr>
        <w:t>伍</w:t>
      </w:r>
      <w:r>
        <w:rPr>
          <w:rFonts w:hint="eastAsia" w:ascii="宋体" w:hAnsi="宋体" w:eastAsia="宋体" w:cs="宋体"/>
          <w:bCs/>
          <w:color w:val="auto"/>
          <w:kern w:val="0"/>
          <w:szCs w:val="21"/>
          <w:lang w:eastAsia="zh-CN"/>
        </w:rPr>
        <w:t>年之内持续有效。</w:t>
      </w:r>
      <w:r>
        <w:rPr>
          <w:rFonts w:hint="eastAsia" w:ascii="宋体" w:hAnsi="宋体" w:eastAsia="宋体" w:cs="宋体"/>
          <w:bCs/>
          <w:color w:val="auto"/>
          <w:kern w:val="0"/>
          <w:szCs w:val="21"/>
        </w:rPr>
        <w:t>合作关系终止后，</w:t>
      </w:r>
      <w:r>
        <w:rPr>
          <w:rFonts w:hint="eastAsia" w:ascii="宋体" w:hAnsi="宋体" w:eastAsia="宋体" w:cs="宋体"/>
          <w:bCs/>
          <w:color w:val="auto"/>
          <w:kern w:val="0"/>
          <w:szCs w:val="21"/>
          <w:lang w:eastAsia="zh-CN"/>
        </w:rPr>
        <w:t>成交供应商</w:t>
      </w:r>
      <w:r>
        <w:rPr>
          <w:rFonts w:hint="eastAsia" w:ascii="宋体" w:hAnsi="宋体" w:eastAsia="宋体" w:cs="宋体"/>
          <w:bCs/>
          <w:color w:val="auto"/>
          <w:kern w:val="0"/>
          <w:szCs w:val="21"/>
        </w:rPr>
        <w:t>仍应继续履行保密义务，直至保密信息进入公共领域或不再具有保密价值。</w:t>
      </w:r>
    </w:p>
    <w:p>
      <w:pPr>
        <w:ind w:firstLine="420" w:firstLineChars="200"/>
        <w:rPr>
          <w:rFonts w:hint="default" w:ascii="宋体" w:hAnsi="宋体" w:eastAsia="宋体" w:cs="宋体"/>
          <w:bCs/>
          <w:color w:val="auto"/>
          <w:kern w:val="0"/>
          <w:szCs w:val="21"/>
          <w:lang w:val="en-US" w:eastAsia="zh-CN"/>
        </w:rPr>
      </w:pPr>
      <w:r>
        <w:rPr>
          <w:rFonts w:hint="eastAsia" w:ascii="宋体" w:hAnsi="宋体" w:eastAsia="宋体" w:cs="宋体"/>
          <w:bCs/>
          <w:color w:val="auto"/>
          <w:kern w:val="0"/>
          <w:szCs w:val="21"/>
          <w:lang w:val="en-US" w:eastAsia="zh-CN"/>
        </w:rPr>
        <w:t>3</w:t>
      </w:r>
      <w:r>
        <w:rPr>
          <w:rFonts w:hint="eastAsia" w:ascii="宋体" w:hAnsi="宋体" w:cs="宋体"/>
          <w:bCs/>
          <w:color w:val="auto"/>
          <w:kern w:val="0"/>
          <w:szCs w:val="21"/>
          <w:lang w:val="en-US" w:eastAsia="zh-CN"/>
        </w:rPr>
        <w:t>.</w:t>
      </w:r>
      <w:r>
        <w:rPr>
          <w:rFonts w:hint="eastAsia" w:ascii="宋体" w:hAnsi="宋体" w:eastAsia="宋体" w:cs="宋体"/>
          <w:bCs/>
          <w:color w:val="auto"/>
          <w:kern w:val="0"/>
          <w:szCs w:val="21"/>
          <w:lang w:val="en-US" w:eastAsia="zh-CN"/>
        </w:rPr>
        <w:t>如成交供应商违反本协议的保密义务，应立即采取补救措施，</w:t>
      </w:r>
      <w:r>
        <w:rPr>
          <w:rFonts w:hint="eastAsia" w:ascii="宋体" w:hAnsi="宋体" w:eastAsia="宋体"/>
          <w:color w:val="auto"/>
          <w:sz w:val="21"/>
          <w:szCs w:val="21"/>
          <w:lang w:eastAsia="zh-CN"/>
        </w:rPr>
        <w:t>并</w:t>
      </w:r>
      <w:r>
        <w:rPr>
          <w:rFonts w:hint="eastAsia" w:ascii="宋体" w:hAnsi="宋体"/>
          <w:color w:val="auto"/>
          <w:sz w:val="21"/>
          <w:szCs w:val="21"/>
        </w:rPr>
        <w:t>按合同总价的</w:t>
      </w:r>
      <w:r>
        <w:rPr>
          <w:rFonts w:hint="eastAsia" w:ascii="宋体" w:hAnsi="宋体"/>
          <w:color w:val="auto"/>
          <w:sz w:val="21"/>
          <w:szCs w:val="21"/>
          <w:u w:val="single"/>
          <w:lang w:eastAsia="zh-CN"/>
        </w:rPr>
        <w:t>百分之二十</w:t>
      </w:r>
      <w:r>
        <w:rPr>
          <w:rFonts w:hint="eastAsia" w:ascii="宋体" w:hAnsi="宋体"/>
          <w:color w:val="auto"/>
          <w:sz w:val="21"/>
          <w:szCs w:val="21"/>
        </w:rPr>
        <w:t>向</w:t>
      </w:r>
      <w:r>
        <w:rPr>
          <w:rFonts w:hint="eastAsia" w:ascii="宋体" w:hAnsi="宋体"/>
          <w:color w:val="auto"/>
          <w:sz w:val="21"/>
          <w:szCs w:val="21"/>
          <w:lang w:eastAsia="zh-CN"/>
        </w:rPr>
        <w:t>采购人</w:t>
      </w:r>
      <w:r>
        <w:rPr>
          <w:rFonts w:hint="eastAsia" w:ascii="宋体" w:hAnsi="宋体"/>
          <w:color w:val="auto"/>
          <w:sz w:val="21"/>
          <w:szCs w:val="21"/>
        </w:rPr>
        <w:t>支付违约金并赔偿因此给</w:t>
      </w:r>
      <w:r>
        <w:rPr>
          <w:rFonts w:hint="eastAsia" w:ascii="宋体" w:hAnsi="宋体"/>
          <w:color w:val="auto"/>
          <w:sz w:val="21"/>
          <w:szCs w:val="21"/>
          <w:lang w:eastAsia="zh-CN"/>
        </w:rPr>
        <w:t>采购人</w:t>
      </w:r>
      <w:r>
        <w:rPr>
          <w:rFonts w:hint="eastAsia" w:ascii="宋体" w:hAnsi="宋体"/>
          <w:color w:val="auto"/>
          <w:sz w:val="21"/>
          <w:szCs w:val="21"/>
        </w:rPr>
        <w:t>造成的一切损失</w:t>
      </w:r>
      <w:r>
        <w:rPr>
          <w:rFonts w:hint="eastAsia" w:ascii="宋体" w:hAnsi="宋体" w:eastAsia="宋体" w:cs="宋体"/>
          <w:bCs/>
          <w:color w:val="auto"/>
          <w:kern w:val="0"/>
          <w:szCs w:val="21"/>
          <w:lang w:val="en-US" w:eastAsia="zh-CN"/>
        </w:rPr>
        <w:t>。采购人有权要求成交供应商立即停止违约行为，并有权解除合作协议，追究成交供应商的法律责任。</w:t>
      </w:r>
    </w:p>
    <w:p>
      <w:pPr>
        <w:numPr>
          <w:ilvl w:val="0"/>
          <w:numId w:val="0"/>
        </w:numPr>
        <w:rPr>
          <w:rFonts w:hint="eastAsia" w:ascii="Times New Roman" w:hAnsi="Times New Roman" w:eastAsia="宋体" w:cs="Times New Roman"/>
          <w:b/>
          <w:bCs/>
          <w:color w:val="auto"/>
          <w:lang w:eastAsia="zh-CN"/>
        </w:rPr>
      </w:pPr>
      <w:r>
        <w:rPr>
          <w:rFonts w:hint="eastAsia" w:ascii="Times New Roman" w:hAnsi="Times New Roman" w:eastAsia="宋体" w:cs="Times New Roman"/>
          <w:b/>
          <w:bCs/>
          <w:color w:val="auto"/>
          <w:lang w:eastAsia="zh-CN"/>
        </w:rPr>
        <w:t>六、解决争议的办法</w:t>
      </w:r>
    </w:p>
    <w:p>
      <w:pPr>
        <w:pStyle w:val="8"/>
        <w:spacing w:line="360" w:lineRule="auto"/>
        <w:rPr>
          <w:rFonts w:hint="eastAsia" w:ascii="宋体" w:hAnsi="宋体" w:eastAsia="宋体" w:cs="宋体"/>
          <w:bCs/>
          <w:color w:val="auto"/>
          <w:kern w:val="0"/>
          <w:sz w:val="21"/>
          <w:szCs w:val="21"/>
          <w:lang w:val="en-US" w:eastAsia="zh-CN" w:bidi="ar-SA"/>
        </w:rPr>
      </w:pPr>
      <w:r>
        <w:rPr>
          <w:rFonts w:hint="eastAsia" w:ascii="宋体" w:hAnsi="宋体" w:eastAsia="宋体" w:cs="宋体"/>
          <w:bCs/>
          <w:color w:val="auto"/>
          <w:kern w:val="0"/>
          <w:sz w:val="21"/>
          <w:szCs w:val="21"/>
          <w:lang w:val="en-US" w:eastAsia="zh-CN" w:bidi="ar-SA"/>
        </w:rPr>
        <w:t>1.因服务的质量问题发生争议，由采购人或其指定的第三方机构进行质量鉴定。鉴定费由成交供应商承担。</w:t>
      </w:r>
    </w:p>
    <w:p>
      <w:pPr>
        <w:numPr>
          <w:ilvl w:val="0"/>
          <w:numId w:val="0"/>
        </w:numPr>
        <w:rPr>
          <w:rFonts w:hint="eastAsia" w:ascii="宋体" w:hAnsi="宋体" w:eastAsia="宋体" w:cs="宋体"/>
          <w:bCs/>
          <w:color w:val="auto"/>
          <w:kern w:val="0"/>
          <w:sz w:val="21"/>
          <w:szCs w:val="21"/>
          <w:lang w:val="en-US" w:eastAsia="zh-CN" w:bidi="ar-SA"/>
        </w:rPr>
      </w:pPr>
      <w:r>
        <w:rPr>
          <w:rFonts w:hint="eastAsia" w:ascii="宋体" w:hAnsi="宋体" w:eastAsia="宋体" w:cs="宋体"/>
          <w:bCs/>
          <w:color w:val="auto"/>
          <w:kern w:val="0"/>
          <w:sz w:val="21"/>
          <w:szCs w:val="21"/>
          <w:lang w:val="en-US" w:eastAsia="zh-CN" w:bidi="ar-SA"/>
        </w:rPr>
        <w:t>2.合同履行期间,若双方发生争议由双方友好协商解决，协商解决不成的，向采购人</w:t>
      </w:r>
      <w:bookmarkStart w:id="2" w:name="_GoBack"/>
      <w:bookmarkEnd w:id="2"/>
      <w:r>
        <w:rPr>
          <w:rFonts w:hint="eastAsia" w:ascii="宋体" w:hAnsi="宋体" w:eastAsia="宋体" w:cs="宋体"/>
          <w:bCs/>
          <w:color w:val="auto"/>
          <w:kern w:val="0"/>
          <w:sz w:val="21"/>
          <w:szCs w:val="21"/>
          <w:lang w:val="en-US" w:eastAsia="zh-CN" w:bidi="ar-SA"/>
        </w:rPr>
        <w:t>所在地人民法院诉讼解决。</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16699D"/>
    <w:multiLevelType w:val="singleLevel"/>
    <w:tmpl w:val="D916699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3ODg2OWIwOTFkMzg0M2YxZmZhMWIxMmY1ODk0OTMifQ=="/>
  </w:docVars>
  <w:rsids>
    <w:rsidRoot w:val="00000000"/>
    <w:rsid w:val="05ED719D"/>
    <w:rsid w:val="06A7477D"/>
    <w:rsid w:val="085D0891"/>
    <w:rsid w:val="0A8D34B7"/>
    <w:rsid w:val="0B0614D4"/>
    <w:rsid w:val="12AF5192"/>
    <w:rsid w:val="19BC5866"/>
    <w:rsid w:val="1F685D22"/>
    <w:rsid w:val="20557DA3"/>
    <w:rsid w:val="20F77817"/>
    <w:rsid w:val="21721428"/>
    <w:rsid w:val="23CD36CA"/>
    <w:rsid w:val="29A502DB"/>
    <w:rsid w:val="2F690E80"/>
    <w:rsid w:val="31F01FAE"/>
    <w:rsid w:val="34A62133"/>
    <w:rsid w:val="35614329"/>
    <w:rsid w:val="38364E06"/>
    <w:rsid w:val="3A3D7BD0"/>
    <w:rsid w:val="400E2C48"/>
    <w:rsid w:val="40BE466E"/>
    <w:rsid w:val="40D7331C"/>
    <w:rsid w:val="43BA31C5"/>
    <w:rsid w:val="4574628D"/>
    <w:rsid w:val="4A6643B7"/>
    <w:rsid w:val="50442747"/>
    <w:rsid w:val="512B2315"/>
    <w:rsid w:val="51BC69A8"/>
    <w:rsid w:val="54DA4646"/>
    <w:rsid w:val="58BF6D7E"/>
    <w:rsid w:val="58F9565E"/>
    <w:rsid w:val="6E81262C"/>
    <w:rsid w:val="6F3C2C80"/>
    <w:rsid w:val="6FA0327B"/>
    <w:rsid w:val="7AC95111"/>
    <w:rsid w:val="7DC26844"/>
    <w:rsid w:val="7F6153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autoRedefine/>
    <w:qFormat/>
    <w:uiPriority w:val="0"/>
    <w:pPr>
      <w:keepNext/>
      <w:keepLines/>
      <w:spacing w:before="260" w:beforeLines="0" w:after="260" w:afterLines="0" w:line="413" w:lineRule="auto"/>
      <w:outlineLvl w:val="1"/>
    </w:pPr>
    <w:rPr>
      <w:rFonts w:ascii="Arial" w:hAnsi="Arial" w:eastAsia="黑体"/>
      <w:b/>
      <w:bCs/>
      <w:sz w:val="32"/>
      <w:szCs w:val="32"/>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99"/>
    <w:pPr>
      <w:spacing w:after="120"/>
    </w:p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样式 首行缩进:  2 字符"/>
    <w:basedOn w:val="1"/>
    <w:autoRedefine/>
    <w:qFormat/>
    <w:uiPriority w:val="0"/>
    <w:pPr>
      <w:spacing w:line="400" w:lineRule="exact"/>
      <w:ind w:firstLine="200" w:firstLineChars="200"/>
    </w:pPr>
    <w:rPr>
      <w:rFonts w:cs="宋体"/>
      <w:sz w:val="24"/>
    </w:rPr>
  </w:style>
  <w:style w:type="paragraph" w:customStyle="1" w:styleId="9">
    <w:name w:val="List Paragraph"/>
    <w:basedOn w:val="1"/>
    <w:autoRedefine/>
    <w:qFormat/>
    <w:uiPriority w:val="0"/>
    <w:pPr>
      <w:ind w:left="720"/>
    </w:pPr>
    <w:rPr>
      <w:rFonts w:hint="eastAsi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2024-01-15T02:03:00Z</dcterms:created>
  <dc:creator>Administrator</dc:creator>
  <cp:lastModifiedBy>梧桐</cp:lastModifiedBy>
  <cp:lastPrinted>2024-01-15T02:35:00Z</cp:lastPrinted>
  <dcterms:modified xsi:type="dcterms:W3CDTF">2024-12-02T07:47:20Z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486BCBFC4F1D4EAE97BE5560213141E1_12</vt:lpwstr>
  </property>
</Properties>
</file>